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訓後薪資變化調查與分析表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社團法人屏東縣原始點關懷協會｜可編輯工作稿／待補真實資料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先看項目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說明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這份文件要證明什麼？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以同一學員訓前與訓後的可比資料，分析薪資變化並保護個人隱私。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先取得明確同意並定義比較期間，再記錄薪資口徑、來源及缺漏。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先看哪裡？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先核對同一個人的前後薪資期間、工作型態和資料來源；不得只挑有調薪者。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目前資料狀態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目前未取得本會學員的訓前／訓後薪資原件或調查回覆；無任何薪資成果數字。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對應查核項目：進行訓後薪資調查，部份訓後學員微幅調薪。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填寫時只記錄有來源可回查的實際資料；未取得、未回覆、不適用及尚未辦理要分開標示，不以目標或推估數字代替成果。涉及個人資料時使用代碼，原件另存於有權限控管的位置。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一、調查前確認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4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受訪學員代碼／班次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[待補；不得在彙總表填身分證字號或不必要姓名]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同意及調查用途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□已取得 □待取得；用途、保存位置、可撤回方式：[待補]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訓前比較期間／訓後期間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[待補：明確起訖日期；採相同長度或說明差異]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薪資口徑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□月薪 □時薪 □年收入 □薪資區間；含／不含獎金：[待補]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工作型態與工時變動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[待補：全職／兼職、工時或職務變動；避免錯把工時改變當調薪]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二、單案前後資料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學員代碼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訓前資料與來源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訓後資料與來源</w:t>
            </w:r>
          </w:p>
        </w:tc>
        <w:tc>
          <w:tcPr>
            <w:tcW w:type="dxa" w:w="280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差額／變化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[期間／口徑／原件位置]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[期間／口徑／原件位置]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[待計算]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[待計算]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[待計算]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結果判讀與證據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三、彙總口徑與限制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指標／事項</w:t>
            </w:r>
          </w:p>
        </w:tc>
        <w:tc>
          <w:tcPr>
            <w:tcW w:type="dxa" w:w="77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計算或處理方式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薪資變化金額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訓後薪資－訓前薪資；須保持相同薪資口徑及期間。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薪資變化比例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（訓後－訓前）÷訓前×100%；訓前為零、缺值或口徑不同時不計比例。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調薪人數比例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有可核對薪資上升的人數 ÷ 同時具前後有效資料且同意納入的人數；列出未回覆。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微幅調薪判定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不得事後選定有利門檻；分析前說明門檻依據，或直接報告實際差額分布。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因果與其他因素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職務升遷、工時、年資、最低工資或個人轉職等因素另列；不逕稱由訓練造成。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四、個資保護及結論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檢核項目</w:t>
            </w:r>
          </w:p>
        </w:tc>
        <w:tc>
          <w:tcPr>
            <w:tcW w:type="dxa" w:w="74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狀態／待填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資料最小化與存取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[待補：保存位置、可存取角色及保管期間]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缺漏／拒答處理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拒答或無證明者保留缺漏狀態，不以平均值補填；[待補]。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目前結論與改善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[有完整且可比原件後填寫；資料不足時寫「尚無法判定」]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資料項目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來源狀態</w:t>
            </w:r>
          </w:p>
        </w:tc>
        <w:tc>
          <w:tcPr>
            <w:tcW w:type="dxa" w:w="44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檔名／位置／頁次</w:t>
            </w:r>
          </w:p>
        </w:tc>
        <w:tc>
          <w:tcPr>
            <w:tcW w:type="dxa" w:w="15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官方查核項目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已核對原始查核表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第8頁；跨頁續文見第9頁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學員明確同意及訓前薪資資料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待取得或待補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[檔名／日期／頁次／欄位]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訓後薪資資料或可回查的雇主證明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待取得或待補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[檔名／日期／頁次／欄位]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承辦人／日期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覆核人／日期</w:t>
            </w:r>
          </w:p>
        </w:tc>
        <w:tc>
          <w:tcPr>
            <w:tcW w:type="dxa" w:w="42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資料缺漏及後續處理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[待補資料／責任角色／期限]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資料完整性：□完整 □待補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授權狀態：□已核 □待核 □不適用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訓後薪資變化調查與分析表</dc:title>
  <dc:subject>TTQS指標19成果佐證工作稿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