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Microsoft JhengHei" w:hAnsi="Microsoft JhengHei" w:eastAsia="Microsoft JhengHei"/>
          <w:b/>
          <w:color w:val="183B63"/>
          <w:sz w:val="40"/>
        </w:rPr>
        <w:t>目標市場與顧客價值具體提升成效分析報告</w:t>
      </w:r>
    </w:p>
    <w:p>
      <w:pPr>
        <w:spacing w:after="140"/>
      </w:pPr>
      <w:r>
        <w:rPr>
          <w:rFonts w:ascii="Microsoft JhengHei" w:hAnsi="Microsoft JhengHei" w:eastAsia="Microsoft JhengHei"/>
          <w:b w:val="0"/>
          <w:color w:val="58718A"/>
          <w:sz w:val="19"/>
        </w:rPr>
        <w:t>社團法人屏東縣原始點關懷協會｜可編輯工作稿／待補真實資料</w:t>
      </w:r>
    </w:p>
    <w:p>
      <w:pPr>
        <w:pStyle w:val="Heading1"/>
        <w:keepNext/>
      </w:pPr>
      <w:r>
        <w:rPr>
          <w:rFonts w:ascii="Microsoft JhengHei" w:hAnsi="Microsoft JhengHei" w:eastAsia="Microsoft JhengHei"/>
          <w:b/>
          <w:color w:val="183B63"/>
          <w:sz w:val="30"/>
        </w:rPr>
        <w:t>30秒先讀這裡</w:t>
      </w:r>
    </w:p>
    <w:tbl>
      <w:tblPr>
        <w:tblStyle w:val="TableGrid"/>
        <w:tblW w:type="auto" w:w="0"/>
        <w:jc w:val="center"/>
        <w:tblLayout w:type="fixed"/>
        <w:tblLook w:firstColumn="1" w:firstRow="1" w:lastColumn="0" w:lastRow="0" w:noHBand="0" w:noVBand="1" w:val="04A0"/>
      </w:tblPr>
      <w:tblGrid>
        <w:gridCol w:w="5003"/>
        <w:gridCol w:w="5003"/>
      </w:tblGrid>
      <w:tr>
        <w:trPr>
          <w:tblHeader w:val="true"/>
        </w:trPr>
        <w:tc>
          <w:tcPr>
            <w:tcW w:type="dxa" w:w="2088"/>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7"/>
              </w:rPr>
              <w:t>先看項目</w:t>
            </w:r>
          </w:p>
        </w:tc>
        <w:tc>
          <w:tcPr>
            <w:tcW w:type="dxa" w:w="7920"/>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7"/>
              </w:rPr>
              <w:t>說明</w:t>
            </w:r>
          </w:p>
        </w:tc>
      </w:tr>
      <w:tr>
        <w:tc>
          <w:tcPr>
            <w:tcW w:type="dxa" w:w="208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7"/>
              </w:rPr>
              <w:t>這份文件要證明什麼？</w:t>
            </w:r>
          </w:p>
        </w:tc>
        <w:tc>
          <w:tcPr>
            <w:tcW w:type="dxa" w:w="792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7"/>
              </w:rPr>
              <w:t>用可驗證的經營績效資料說明目標市場表現及顧客獲得的價值是否有具體提升。</w:t>
            </w:r>
          </w:p>
        </w:tc>
      </w:tr>
      <w:tr>
        <w:tc>
          <w:tcPr>
            <w:tcW w:type="dxa" w:w="208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7"/>
              </w:rPr>
              <w:t>怎麼使用？</w:t>
            </w:r>
          </w:p>
        </w:tc>
        <w:tc>
          <w:tcPr>
            <w:tcW w:type="dxa" w:w="792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7"/>
              </w:rPr>
              <w:t>分開界定目標市場與顧客價值指標，設定同口徑基準、資料期間、驗證方法及限制。</w:t>
            </w:r>
          </w:p>
        </w:tc>
      </w:tr>
      <w:tr>
        <w:tc>
          <w:tcPr>
            <w:tcW w:type="dxa" w:w="208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7"/>
              </w:rPr>
              <w:t>先看哪裡？</w:t>
            </w:r>
          </w:p>
        </w:tc>
        <w:tc>
          <w:tcPr>
            <w:tcW w:type="dxa" w:w="792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7"/>
              </w:rPr>
              <w:t>先看兩類價值指標的定義、基準與實際來源，再讀差異、原因與決策。</w:t>
            </w:r>
          </w:p>
        </w:tc>
      </w:tr>
      <w:tr>
        <w:tc>
          <w:tcPr>
            <w:tcW w:type="dxa" w:w="208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7"/>
              </w:rPr>
              <w:t>目前資料狀態</w:t>
            </w:r>
          </w:p>
        </w:tc>
        <w:tc>
          <w:tcPr>
            <w:tcW w:type="dxa" w:w="792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7"/>
              </w:rPr>
              <w:t>目前未取得本會三年市場與顧客成果原始數據；沒有任何提升幅度或成效宣稱。</w:t>
            </w:r>
          </w:p>
        </w:tc>
      </w:tr>
    </w:tbl>
    <w:p>
      <w:pPr>
        <w:spacing w:after="0"/>
      </w:pPr>
    </w:p>
    <w:p>
      <w:pPr>
        <w:keepLines/>
      </w:pPr>
      <w:r>
        <w:rPr>
          <w:rFonts w:ascii="Microsoft JhengHei" w:hAnsi="Microsoft JhengHei" w:eastAsia="Microsoft JhengHei"/>
          <w:b w:val="0"/>
          <w:color w:val="24364B"/>
          <w:sz w:val="22"/>
        </w:rPr>
        <w:t>對應查核項目：經營績效中之數據呈現目標市場及顧客價值均有顯著具體的提升績效。</w:t>
      </w:r>
    </w:p>
    <w:p>
      <w:pPr>
        <w:keepLines/>
      </w:pPr>
      <w:r>
        <w:rPr>
          <w:rFonts w:ascii="Microsoft JhengHei" w:hAnsi="Microsoft JhengHei" w:eastAsia="Microsoft JhengHei"/>
          <w:b w:val="0"/>
          <w:color w:val="24364B"/>
          <w:sz w:val="22"/>
        </w:rPr>
        <w:t>只記錄有來源可回查的實際資料；未取得、未回覆、不適用與尚未辦理分開標示。不同期間須使用可比口徑；不得以目標、推估或他機構資料代替本會成果。個人資料用代碼並限制存取。</w:t>
      </w:r>
    </w:p>
    <w:p>
      <w:pPr>
        <w:pStyle w:val="Heading2"/>
        <w:keepNext/>
      </w:pPr>
      <w:r>
        <w:rPr>
          <w:rFonts w:ascii="Microsoft JhengHei" w:hAnsi="Microsoft JhengHei" w:eastAsia="Microsoft JhengHei"/>
          <w:b/>
          <w:color w:val="245A81"/>
          <w:sz w:val="24"/>
        </w:rPr>
        <w:t>一、分析設計與價值定義</w:t>
      </w:r>
    </w:p>
    <w:tbl>
      <w:tblPr>
        <w:tblStyle w:val="TableGrid"/>
        <w:tblW w:type="auto" w:w="0"/>
        <w:jc w:val="center"/>
        <w:tblLayout w:type="fixed"/>
        <w:tblLook w:firstColumn="1" w:firstRow="1" w:lastColumn="0" w:lastRow="0" w:noHBand="0" w:noVBand="1" w:val="04A0"/>
      </w:tblPr>
      <w:tblGrid>
        <w:gridCol w:w="5003"/>
        <w:gridCol w:w="5003"/>
      </w:tblGrid>
      <w:tr>
        <w:trPr>
          <w:tblHeader w:val="true"/>
        </w:trPr>
        <w:tc>
          <w:tcPr>
            <w:tcW w:type="dxa" w:w="2448"/>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6"/>
              </w:rPr>
              <w:t>欄位</w:t>
            </w:r>
          </w:p>
        </w:tc>
        <w:tc>
          <w:tcPr>
            <w:tcW w:type="dxa" w:w="7560"/>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6"/>
              </w:rPr>
              <w:t>實際資料／待填</w:t>
            </w:r>
          </w:p>
        </w:tc>
      </w:tr>
      <w:tr>
        <w:tc>
          <w:tcPr>
            <w:tcW w:type="dxa" w:w="244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6"/>
              </w:rPr>
              <w:t>目標市場與對象</w:t>
            </w:r>
          </w:p>
        </w:tc>
        <w:tc>
          <w:tcPr>
            <w:tcW w:type="dxa" w:w="756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6"/>
              </w:rPr>
              <w:t>[待補：範圍、區域／對象、納入排除規則及期間]</w:t>
            </w:r>
          </w:p>
        </w:tc>
      </w:tr>
      <w:tr>
        <w:tc>
          <w:tcPr>
            <w:tcW w:type="dxa" w:w="244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6"/>
              </w:rPr>
              <w:t>市場表現指標</w:t>
            </w:r>
          </w:p>
        </w:tc>
        <w:tc>
          <w:tcPr>
            <w:tcW w:type="dxa" w:w="756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6"/>
              </w:rPr>
              <w:t>[待補：例如可證明的觸及、服務量或合作變化；須有來源]</w:t>
            </w:r>
          </w:p>
        </w:tc>
      </w:tr>
      <w:tr>
        <w:tc>
          <w:tcPr>
            <w:tcW w:type="dxa" w:w="244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6"/>
              </w:rPr>
              <w:t>顧客價值指標</w:t>
            </w:r>
          </w:p>
        </w:tc>
        <w:tc>
          <w:tcPr>
            <w:tcW w:type="dxa" w:w="756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6"/>
              </w:rPr>
              <w:t>[待補：顧客可觀察獲益及測量方式；不得以宣傳語代替]</w:t>
            </w:r>
          </w:p>
        </w:tc>
      </w:tr>
      <w:tr>
        <w:tc>
          <w:tcPr>
            <w:tcW w:type="dxa" w:w="244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6"/>
              </w:rPr>
              <w:t>基準與比較方式</w:t>
            </w:r>
          </w:p>
        </w:tc>
        <w:tc>
          <w:tcPr>
            <w:tcW w:type="dxa" w:w="7560"/>
            <w:vAlign w:val="center"/>
            <w:tcMar>
              <w:top w:w="85" w:type="dxa"/>
              <w:start w:w="95" w:type="dxa"/>
              <w:bottom w:w="85" w:type="dxa"/>
              <w:end w:w="95" w:type="dxa"/>
            </w:tcMar>
          </w:tcPr>
          <w:p>
            <w:pPr>
              <w:spacing w:before="0" w:after="0" w:line="240" w:lineRule="auto"/>
            </w:pPr>
            <w:r>
              <w:rPr>
                <w:rFonts w:ascii="Microsoft JhengHei" w:hAnsi="Microsoft JhengHei" w:eastAsia="Microsoft JhengHei"/>
                <w:b w:val="0"/>
                <w:sz w:val="15"/>
              </w:rPr>
              <w:t>[待補基準期間、樣本n與比較方式]</w:t>
            </w:r>
          </w:p>
        </w:tc>
      </w:tr>
    </w:tbl>
    <w:p>
      <w:pPr>
        <w:spacing w:after="0"/>
      </w:pPr>
    </w:p>
    <w:p>
      <w:pPr>
        <w:pStyle w:val="Heading2"/>
        <w:keepNext/>
      </w:pPr>
      <w:r>
        <w:rPr>
          <w:rFonts w:ascii="Microsoft JhengHei" w:hAnsi="Microsoft JhengHei" w:eastAsia="Microsoft JhengHei"/>
          <w:b/>
          <w:color w:val="245A81"/>
          <w:sz w:val="24"/>
        </w:rPr>
        <w:t>二、績效資料與來源</w:t>
      </w:r>
    </w:p>
    <w:tbl>
      <w:tblPr>
        <w:tblStyle w:val="TableGrid"/>
        <w:tblW w:type="auto" w:w="0"/>
        <w:jc w:val="center"/>
        <w:tblLayout w:type="fixed"/>
        <w:tblLook w:firstColumn="1" w:firstRow="1" w:lastColumn="0" w:lastRow="0" w:noHBand="0" w:noVBand="1" w:val="04A0"/>
      </w:tblPr>
      <w:tblGrid>
        <w:gridCol w:w="2001"/>
        <w:gridCol w:w="2001"/>
        <w:gridCol w:w="2001"/>
        <w:gridCol w:w="2001"/>
        <w:gridCol w:w="2001"/>
      </w:tblGrid>
      <w:tr>
        <w:trPr>
          <w:tblHeader w:val="true"/>
        </w:trPr>
        <w:tc>
          <w:tcPr>
            <w:tcW w:type="dxa" w:w="2088"/>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4"/>
              </w:rPr>
              <w:t>面向／指標</w:t>
            </w:r>
          </w:p>
        </w:tc>
        <w:tc>
          <w:tcPr>
            <w:tcW w:type="dxa" w:w="1512"/>
            <w:vAlign w:val="center"/>
            <w:shd w:fill="DCEAF5"/>
            <w:tcMar>
              <w:top w:w="85" w:type="dxa"/>
              <w:start w:w="95" w:type="dxa"/>
              <w:bottom w:w="85" w:type="dxa"/>
              <w:end w:w="95" w:type="dxa"/>
            </w:tcMar>
          </w:tcPr>
          <w:p>
            <w:pPr>
              <w:spacing w:before="0" w:after="0" w:line="240" w:lineRule="auto"/>
            </w:pPr>
            <w:r>
              <w:rPr>
                <w:rFonts w:ascii="Microsoft JhengHei" w:hAnsi="Microsoft JhengHei" w:eastAsia="Microsoft JhengHei"/>
                <w:b/>
                <w:sz w:val="15"/>
              </w:rPr>
              <w:t>基準期／樣本n／分子÷分母／實績</w:t>
            </w:r>
          </w:p>
        </w:tc>
        <w:tc>
          <w:tcPr>
            <w:tcW w:type="dxa" w:w="1512"/>
            <w:vAlign w:val="center"/>
            <w:shd w:fill="DCEAF5"/>
            <w:tcMar>
              <w:top w:w="85" w:type="dxa"/>
              <w:start w:w="95" w:type="dxa"/>
              <w:bottom w:w="85" w:type="dxa"/>
              <w:end w:w="95" w:type="dxa"/>
            </w:tcMar>
          </w:tcPr>
          <w:p>
            <w:pPr>
              <w:spacing w:before="0" w:after="0" w:line="240" w:lineRule="auto"/>
            </w:pPr>
            <w:r>
              <w:rPr>
                <w:rFonts w:ascii="Microsoft JhengHei" w:hAnsi="Microsoft JhengHei" w:eastAsia="Microsoft JhengHei"/>
                <w:b/>
                <w:sz w:val="15"/>
              </w:rPr>
              <w:t>比較期／樣本n／分子÷分母／實績</w:t>
            </w:r>
          </w:p>
        </w:tc>
        <w:tc>
          <w:tcPr>
            <w:tcW w:type="dxa" w:w="1584"/>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4"/>
              </w:rPr>
              <w:t>差異／變化</w:t>
            </w:r>
          </w:p>
        </w:tc>
        <w:tc>
          <w:tcPr>
            <w:tcW w:type="dxa" w:w="3312"/>
            <w:vAlign w:val="center"/>
            <w:shd w:fill="DCEAF5"/>
            <w:tcMar>
              <w:top w:w="85" w:type="dxa"/>
              <w:start w:w="95" w:type="dxa"/>
              <w:bottom w:w="85" w:type="dxa"/>
              <w:end w:w="95" w:type="dxa"/>
            </w:tcMar>
          </w:tcPr>
          <w:p>
            <w:pPr>
              <w:spacing w:before="0" w:after="0" w:line="240" w:lineRule="auto"/>
            </w:pPr>
            <w:r>
              <w:rPr>
                <w:rFonts w:ascii="Microsoft JhengHei" w:hAnsi="Microsoft JhengHei" w:eastAsia="Microsoft JhengHei"/>
                <w:b/>
                <w:sz w:val="15"/>
              </w:rPr>
              <w:t>原始來源／事前目標／覆核</w:t>
            </w:r>
          </w:p>
        </w:tc>
      </w:tr>
      <w:tr>
        <w:tc>
          <w:tcPr>
            <w:tcW w:type="dxa" w:w="208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目標市場表現</w:t>
            </w:r>
          </w:p>
        </w:tc>
        <w:tc>
          <w:tcPr>
            <w:tcW w:type="dxa" w:w="1512"/>
            <w:vAlign w:val="center"/>
            <w:tcMar>
              <w:top w:w="85" w:type="dxa"/>
              <w:start w:w="95" w:type="dxa"/>
              <w:bottom w:w="85" w:type="dxa"/>
              <w:end w:w="95" w:type="dxa"/>
            </w:tcMar>
          </w:tcPr>
          <w:p>
            <w:pPr>
              <w:spacing w:before="0" w:after="0" w:line="240" w:lineRule="auto"/>
            </w:pPr>
            <w:r>
              <w:rPr>
                <w:rFonts w:ascii="Microsoft JhengHei" w:hAnsi="Microsoft JhengHei" w:eastAsia="Microsoft JhengHei"/>
                <w:b w:val="0"/>
                <w:sz w:val="15"/>
              </w:rPr>
              <w:t>[待填期間、n及分子／分母／實績]</w:t>
            </w:r>
          </w:p>
        </w:tc>
        <w:tc>
          <w:tcPr>
            <w:tcW w:type="dxa" w:w="1512"/>
            <w:vAlign w:val="center"/>
            <w:tcMar>
              <w:top w:w="85" w:type="dxa"/>
              <w:start w:w="95" w:type="dxa"/>
              <w:bottom w:w="85" w:type="dxa"/>
              <w:end w:w="95" w:type="dxa"/>
            </w:tcMar>
          </w:tcPr>
          <w:p>
            <w:pPr>
              <w:spacing w:before="0" w:after="0" w:line="240" w:lineRule="auto"/>
            </w:pPr>
            <w:r>
              <w:rPr>
                <w:rFonts w:ascii="Microsoft JhengHei" w:hAnsi="Microsoft JhengHei" w:eastAsia="Microsoft JhengHei"/>
                <w:b w:val="0"/>
                <w:sz w:val="15"/>
              </w:rPr>
              <w:t>[待填期間、n及分子／分母／實績]</w:t>
            </w:r>
          </w:p>
        </w:tc>
        <w:tc>
          <w:tcPr>
            <w:tcW w:type="dxa" w:w="158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[待算]</w:t>
            </w:r>
          </w:p>
        </w:tc>
        <w:tc>
          <w:tcPr>
            <w:tcW w:type="dxa" w:w="3312"/>
            <w:vAlign w:val="center"/>
            <w:tcMar>
              <w:top w:w="85" w:type="dxa"/>
              <w:start w:w="95" w:type="dxa"/>
              <w:bottom w:w="85" w:type="dxa"/>
              <w:end w:w="95" w:type="dxa"/>
            </w:tcMar>
          </w:tcPr>
          <w:p>
            <w:pPr>
              <w:spacing w:before="0" w:after="0" w:line="240" w:lineRule="auto"/>
            </w:pPr>
            <w:r>
              <w:rPr>
                <w:rFonts w:ascii="Microsoft JhengHei" w:hAnsi="Microsoft JhengHei" w:eastAsia="Microsoft JhengHei"/>
                <w:b w:val="0"/>
                <w:sz w:val="15"/>
              </w:rPr>
              <w:t>[待填來源、事前核定目標及覆核]</w:t>
            </w:r>
          </w:p>
        </w:tc>
      </w:tr>
      <w:tr>
        <w:tc>
          <w:tcPr>
            <w:tcW w:type="dxa" w:w="208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顧客實際價值</w:t>
            </w:r>
          </w:p>
        </w:tc>
        <w:tc>
          <w:tcPr>
            <w:tcW w:type="dxa" w:w="1512"/>
            <w:vAlign w:val="center"/>
            <w:tcMar>
              <w:top w:w="85" w:type="dxa"/>
              <w:start w:w="95" w:type="dxa"/>
              <w:bottom w:w="85" w:type="dxa"/>
              <w:end w:w="95" w:type="dxa"/>
            </w:tcMar>
          </w:tcPr>
          <w:p>
            <w:pPr>
              <w:spacing w:before="0" w:after="0" w:line="240" w:lineRule="auto"/>
            </w:pPr>
            <w:r>
              <w:rPr>
                <w:rFonts w:ascii="Microsoft JhengHei" w:hAnsi="Microsoft JhengHei" w:eastAsia="Microsoft JhengHei"/>
                <w:b w:val="0"/>
                <w:sz w:val="15"/>
              </w:rPr>
              <w:t>[待填期間、n及分子／分母／實績]</w:t>
            </w:r>
          </w:p>
        </w:tc>
        <w:tc>
          <w:tcPr>
            <w:tcW w:type="dxa" w:w="1512"/>
            <w:vAlign w:val="center"/>
            <w:tcMar>
              <w:top w:w="85" w:type="dxa"/>
              <w:start w:w="95" w:type="dxa"/>
              <w:bottom w:w="85" w:type="dxa"/>
              <w:end w:w="95" w:type="dxa"/>
            </w:tcMar>
          </w:tcPr>
          <w:p>
            <w:pPr>
              <w:spacing w:before="0" w:after="0" w:line="240" w:lineRule="auto"/>
            </w:pPr>
            <w:r>
              <w:rPr>
                <w:rFonts w:ascii="Microsoft JhengHei" w:hAnsi="Microsoft JhengHei" w:eastAsia="Microsoft JhengHei"/>
                <w:b w:val="0"/>
                <w:sz w:val="15"/>
              </w:rPr>
              <w:t>[待填期間、n及分子／分母／實績]</w:t>
            </w:r>
          </w:p>
        </w:tc>
        <w:tc>
          <w:tcPr>
            <w:tcW w:type="dxa" w:w="158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[待算]</w:t>
            </w:r>
          </w:p>
        </w:tc>
        <w:tc>
          <w:tcPr>
            <w:tcW w:type="dxa" w:w="3312"/>
            <w:vAlign w:val="center"/>
            <w:tcMar>
              <w:top w:w="85" w:type="dxa"/>
              <w:start w:w="95" w:type="dxa"/>
              <w:bottom w:w="85" w:type="dxa"/>
              <w:end w:w="95" w:type="dxa"/>
            </w:tcMar>
          </w:tcPr>
          <w:p>
            <w:pPr>
              <w:spacing w:before="0" w:after="0" w:line="240" w:lineRule="auto"/>
            </w:pPr>
            <w:r>
              <w:rPr>
                <w:rFonts w:ascii="Microsoft JhengHei" w:hAnsi="Microsoft JhengHei" w:eastAsia="Microsoft JhengHei"/>
                <w:b w:val="0"/>
                <w:sz w:val="15"/>
              </w:rPr>
              <w:t>[待填來源、事前核定目標及覆核]</w:t>
            </w:r>
          </w:p>
        </w:tc>
      </w:tr>
      <w:tr>
        <w:tc>
          <w:tcPr>
            <w:tcW w:type="dxa" w:w="208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服務或合作成果</w:t>
            </w:r>
          </w:p>
        </w:tc>
        <w:tc>
          <w:tcPr>
            <w:tcW w:type="dxa" w:w="1512"/>
            <w:vAlign w:val="center"/>
            <w:tcMar>
              <w:top w:w="85" w:type="dxa"/>
              <w:start w:w="95" w:type="dxa"/>
              <w:bottom w:w="85" w:type="dxa"/>
              <w:end w:w="95" w:type="dxa"/>
            </w:tcMar>
          </w:tcPr>
          <w:p>
            <w:pPr>
              <w:spacing w:before="0" w:after="0" w:line="240" w:lineRule="auto"/>
            </w:pPr>
            <w:r>
              <w:rPr>
                <w:rFonts w:ascii="Microsoft JhengHei" w:hAnsi="Microsoft JhengHei" w:eastAsia="Microsoft JhengHei"/>
                <w:b w:val="0"/>
                <w:sz w:val="15"/>
              </w:rPr>
              <w:t>[待填期間、n及分子／分母／實績]</w:t>
            </w:r>
          </w:p>
        </w:tc>
        <w:tc>
          <w:tcPr>
            <w:tcW w:type="dxa" w:w="1512"/>
            <w:vAlign w:val="center"/>
            <w:tcMar>
              <w:top w:w="85" w:type="dxa"/>
              <w:start w:w="95" w:type="dxa"/>
              <w:bottom w:w="85" w:type="dxa"/>
              <w:end w:w="95" w:type="dxa"/>
            </w:tcMar>
          </w:tcPr>
          <w:p>
            <w:pPr>
              <w:spacing w:before="0" w:after="0" w:line="240" w:lineRule="auto"/>
            </w:pPr>
            <w:r>
              <w:rPr>
                <w:rFonts w:ascii="Microsoft JhengHei" w:hAnsi="Microsoft JhengHei" w:eastAsia="Microsoft JhengHei"/>
                <w:b w:val="0"/>
                <w:sz w:val="15"/>
              </w:rPr>
              <w:t>[待填期間、n及分子／分母／實績]</w:t>
            </w:r>
          </w:p>
        </w:tc>
        <w:tc>
          <w:tcPr>
            <w:tcW w:type="dxa" w:w="158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[待算]</w:t>
            </w:r>
          </w:p>
        </w:tc>
        <w:tc>
          <w:tcPr>
            <w:tcW w:type="dxa" w:w="3312"/>
            <w:vAlign w:val="center"/>
            <w:tcMar>
              <w:top w:w="85" w:type="dxa"/>
              <w:start w:w="95" w:type="dxa"/>
              <w:bottom w:w="85" w:type="dxa"/>
              <w:end w:w="95" w:type="dxa"/>
            </w:tcMar>
          </w:tcPr>
          <w:p>
            <w:pPr>
              <w:spacing w:before="0" w:after="0" w:line="240" w:lineRule="auto"/>
            </w:pPr>
            <w:r>
              <w:rPr>
                <w:rFonts w:ascii="Microsoft JhengHei" w:hAnsi="Microsoft JhengHei" w:eastAsia="Microsoft JhengHei"/>
                <w:b w:val="0"/>
                <w:sz w:val="15"/>
              </w:rPr>
              <w:t>[待填來源、事前核定目標及覆核]</w:t>
            </w:r>
          </w:p>
        </w:tc>
      </w:tr>
    </w:tbl>
    <w:tbl>
      <w:tblPr>
        <w:tblStyle w:val="TableGrid"/>
        <w:tblW w:type="auto" w:w="0"/>
        <w:tblLook w:firstColumn="1" w:firstRow="1" w:lastColumn="0" w:lastRow="0" w:noHBand="0" w:noVBand="1" w:val="04A0"/>
      </w:tblPr>
      <w:tblGrid>
        <w:gridCol w:w="2001"/>
        <w:gridCol w:w="2001"/>
        <w:gridCol w:w="2001"/>
        <w:gridCol w:w="2001"/>
        <w:gridCol w:w="2001"/>
      </w:tblGrid>
      <w:tr>
        <w:tc>
          <w:tcPr>
            <w:tcW w:type="dxa" w:w="10005"/>
            <w:gridSpan w:val="5"/>
            <w:vAlign w:val="center"/>
          </w:tcPr>
          <w:p>
            <w:pPr>
              <w:spacing w:before="0" w:after="0" w:line="240" w:lineRule="auto"/>
            </w:pPr>
            <w:r>
              <w:rPr>
                <w:rFonts w:ascii="Microsoft JhengHei" w:hAnsi="Microsoft JhengHei" w:eastAsia="Microsoft JhengHei"/>
                <w:b/>
                <w:sz w:val="16"/>
              </w:rPr>
              <w:t>匿名具體案例追蹤｜以代碼記錄市場／顧客狀態與可查證變化；目前無案例實績。</w:t>
            </w:r>
          </w:p>
        </w:tc>
      </w:tr>
      <w:tr>
        <w:trPr>
          <w:tblHeader w:val="true"/>
        </w:trPr>
        <w:tc>
          <w:tcPr>
            <w:tcW w:type="dxa" w:w="2001"/>
            <w:vAlign w:val="center"/>
          </w:tcPr>
          <w:p>
            <w:pPr>
              <w:spacing w:before="0" w:after="0" w:line="240" w:lineRule="auto"/>
            </w:pPr>
            <w:r>
              <w:rPr>
                <w:rFonts w:ascii="Microsoft JhengHei" w:hAnsi="Microsoft JhengHei" w:eastAsia="Microsoft JhengHei"/>
                <w:b/>
                <w:sz w:val="15"/>
              </w:rPr>
              <w:t>案例代碼／群組</w:t>
            </w:r>
          </w:p>
        </w:tc>
        <w:tc>
          <w:tcPr>
            <w:tcW w:type="dxa" w:w="2001"/>
            <w:vAlign w:val="center"/>
          </w:tcPr>
          <w:p>
            <w:pPr>
              <w:spacing w:before="0" w:after="0" w:line="240" w:lineRule="auto"/>
            </w:pPr>
            <w:r>
              <w:rPr>
                <w:rFonts w:ascii="Microsoft JhengHei" w:hAnsi="Microsoft JhengHei" w:eastAsia="Microsoft JhengHei"/>
                <w:b/>
                <w:sz w:val="15"/>
              </w:rPr>
              <w:t>基準期狀態／樣本及來源</w:t>
            </w:r>
          </w:p>
        </w:tc>
        <w:tc>
          <w:tcPr>
            <w:tcW w:type="dxa" w:w="2001"/>
            <w:vAlign w:val="center"/>
          </w:tcPr>
          <w:p>
            <w:pPr>
              <w:spacing w:before="0" w:after="0" w:line="240" w:lineRule="auto"/>
            </w:pPr>
            <w:r>
              <w:rPr>
                <w:rFonts w:ascii="Microsoft JhengHei" w:hAnsi="Microsoft JhengHei" w:eastAsia="Microsoft JhengHei"/>
                <w:b/>
                <w:sz w:val="15"/>
              </w:rPr>
              <w:t>服務／介入與可查證日期</w:t>
            </w:r>
          </w:p>
        </w:tc>
        <w:tc>
          <w:tcPr>
            <w:tcW w:type="dxa" w:w="2001"/>
            <w:vAlign w:val="center"/>
          </w:tcPr>
          <w:p>
            <w:pPr>
              <w:spacing w:before="0" w:after="0" w:line="240" w:lineRule="auto"/>
            </w:pPr>
            <w:r>
              <w:rPr>
                <w:rFonts w:ascii="Microsoft JhengHei" w:hAnsi="Microsoft JhengHei" w:eastAsia="Microsoft JhengHei"/>
                <w:b/>
                <w:sz w:val="15"/>
              </w:rPr>
              <w:t>後續狀態／顧客價值證據</w:t>
            </w:r>
          </w:p>
        </w:tc>
        <w:tc>
          <w:tcPr>
            <w:tcW w:type="dxa" w:w="2001"/>
            <w:vAlign w:val="center"/>
          </w:tcPr>
          <w:p>
            <w:pPr>
              <w:spacing w:before="0" w:after="0" w:line="240" w:lineRule="auto"/>
            </w:pPr>
            <w:r>
              <w:rPr>
                <w:rFonts w:ascii="Microsoft JhengHei" w:hAnsi="Microsoft JhengHei" w:eastAsia="Microsoft JhengHei"/>
                <w:b/>
                <w:sz w:val="15"/>
              </w:rPr>
              <w:t>佐證位置／限制／覆核</w:t>
            </w:r>
          </w:p>
        </w:tc>
      </w:tr>
      <w:tr>
        <w:tc>
          <w:tcPr>
            <w:tcW w:type="dxa" w:w="2001"/>
            <w:vAlign w:val="center"/>
          </w:tcPr>
          <w:p>
            <w:pPr>
              <w:spacing w:before="0" w:after="0" w:line="240" w:lineRule="auto"/>
            </w:pPr>
            <w:r>
              <w:rPr>
                <w:rFonts w:ascii="Microsoft JhengHei" w:hAnsi="Microsoft JhengHei" w:eastAsia="Microsoft JhengHei"/>
                <w:b w:val="0"/>
                <w:sz w:val="15"/>
              </w:rPr>
              <w:t>[待補]</w:t>
            </w:r>
          </w:p>
        </w:tc>
        <w:tc>
          <w:tcPr>
            <w:tcW w:type="dxa" w:w="2001"/>
            <w:vAlign w:val="center"/>
          </w:tcPr>
          <w:p>
            <w:pPr>
              <w:spacing w:before="0" w:after="0" w:line="240" w:lineRule="auto"/>
            </w:pPr>
            <w:r>
              <w:rPr>
                <w:rFonts w:ascii="Microsoft JhengHei" w:hAnsi="Microsoft JhengHei" w:eastAsia="Microsoft JhengHei"/>
                <w:b w:val="0"/>
                <w:sz w:val="15"/>
              </w:rPr>
              <w:t>[待補]</w:t>
            </w:r>
          </w:p>
        </w:tc>
        <w:tc>
          <w:tcPr>
            <w:tcW w:type="dxa" w:w="2001"/>
            <w:vAlign w:val="center"/>
          </w:tcPr>
          <w:p>
            <w:pPr>
              <w:spacing w:before="0" w:after="0" w:line="240" w:lineRule="auto"/>
            </w:pPr>
            <w:r>
              <w:rPr>
                <w:rFonts w:ascii="Microsoft JhengHei" w:hAnsi="Microsoft JhengHei" w:eastAsia="Microsoft JhengHei"/>
                <w:b w:val="0"/>
                <w:sz w:val="15"/>
              </w:rPr>
              <w:t>[待補]</w:t>
            </w:r>
          </w:p>
        </w:tc>
        <w:tc>
          <w:tcPr>
            <w:tcW w:type="dxa" w:w="2001"/>
            <w:vAlign w:val="center"/>
          </w:tcPr>
          <w:p>
            <w:pPr>
              <w:spacing w:before="0" w:after="0" w:line="240" w:lineRule="auto"/>
            </w:pPr>
            <w:r>
              <w:rPr>
                <w:rFonts w:ascii="Microsoft JhengHei" w:hAnsi="Microsoft JhengHei" w:eastAsia="Microsoft JhengHei"/>
                <w:b w:val="0"/>
                <w:sz w:val="15"/>
              </w:rPr>
              <w:t>[待補]</w:t>
            </w:r>
          </w:p>
        </w:tc>
        <w:tc>
          <w:tcPr>
            <w:tcW w:type="dxa" w:w="2001"/>
            <w:vAlign w:val="center"/>
          </w:tcPr>
          <w:p>
            <w:pPr>
              <w:spacing w:before="0" w:after="0" w:line="240" w:lineRule="auto"/>
            </w:pPr>
            <w:r>
              <w:rPr>
                <w:rFonts w:ascii="Microsoft JhengHei" w:hAnsi="Microsoft JhengHei" w:eastAsia="Microsoft JhengHei"/>
                <w:b w:val="0"/>
                <w:sz w:val="15"/>
              </w:rPr>
              <w:t>[待補]</w:t>
            </w:r>
          </w:p>
        </w:tc>
      </w:tr>
      <w:tr>
        <w:tc>
          <w:tcPr>
            <w:tcW w:type="dxa" w:w="2001"/>
            <w:vAlign w:val="center"/>
          </w:tcPr>
          <w:p>
            <w:pPr>
              <w:spacing w:before="0" w:after="0" w:line="240" w:lineRule="auto"/>
            </w:pPr>
            <w:r>
              <w:rPr>
                <w:rFonts w:ascii="Microsoft JhengHei" w:hAnsi="Microsoft JhengHei" w:eastAsia="Microsoft JhengHei"/>
                <w:b w:val="0"/>
                <w:sz w:val="15"/>
              </w:rPr>
              <w:t>[待補]</w:t>
            </w:r>
          </w:p>
        </w:tc>
        <w:tc>
          <w:tcPr>
            <w:tcW w:type="dxa" w:w="2001"/>
            <w:vAlign w:val="center"/>
          </w:tcPr>
          <w:p>
            <w:pPr>
              <w:spacing w:before="0" w:after="0" w:line="240" w:lineRule="auto"/>
            </w:pPr>
            <w:r>
              <w:rPr>
                <w:rFonts w:ascii="Microsoft JhengHei" w:hAnsi="Microsoft JhengHei" w:eastAsia="Microsoft JhengHei"/>
                <w:b w:val="0"/>
                <w:sz w:val="15"/>
              </w:rPr>
              <w:t>[待補]</w:t>
            </w:r>
          </w:p>
        </w:tc>
        <w:tc>
          <w:tcPr>
            <w:tcW w:type="dxa" w:w="2001"/>
            <w:vAlign w:val="center"/>
          </w:tcPr>
          <w:p>
            <w:pPr>
              <w:spacing w:before="0" w:after="0" w:line="240" w:lineRule="auto"/>
            </w:pPr>
            <w:r>
              <w:rPr>
                <w:rFonts w:ascii="Microsoft JhengHei" w:hAnsi="Microsoft JhengHei" w:eastAsia="Microsoft JhengHei"/>
                <w:b w:val="0"/>
                <w:sz w:val="15"/>
              </w:rPr>
              <w:t>[待補]</w:t>
            </w:r>
          </w:p>
        </w:tc>
        <w:tc>
          <w:tcPr>
            <w:tcW w:type="dxa" w:w="2001"/>
            <w:vAlign w:val="center"/>
          </w:tcPr>
          <w:p>
            <w:pPr>
              <w:spacing w:before="0" w:after="0" w:line="240" w:lineRule="auto"/>
            </w:pPr>
            <w:r>
              <w:rPr>
                <w:rFonts w:ascii="Microsoft JhengHei" w:hAnsi="Microsoft JhengHei" w:eastAsia="Microsoft JhengHei"/>
                <w:b w:val="0"/>
                <w:sz w:val="15"/>
              </w:rPr>
              <w:t>[待補]</w:t>
            </w:r>
          </w:p>
        </w:tc>
        <w:tc>
          <w:tcPr>
            <w:tcW w:type="dxa" w:w="2001"/>
            <w:vAlign w:val="center"/>
          </w:tcPr>
          <w:p>
            <w:pPr>
              <w:spacing w:before="0" w:after="0" w:line="240" w:lineRule="auto"/>
            </w:pPr>
            <w:r>
              <w:rPr>
                <w:rFonts w:ascii="Microsoft JhengHei" w:hAnsi="Microsoft JhengHei" w:eastAsia="Microsoft JhengHei"/>
                <w:b w:val="0"/>
                <w:sz w:val="15"/>
              </w:rPr>
              <w:t>[待補]</w:t>
            </w:r>
          </w:p>
        </w:tc>
      </w:tr>
      <w:tr>
        <w:tc>
          <w:tcPr>
            <w:tcW w:type="dxa" w:w="2001"/>
            <w:vAlign w:val="center"/>
          </w:tcPr>
          <w:p>
            <w:pPr>
              <w:spacing w:before="0" w:after="0" w:line="240" w:lineRule="auto"/>
            </w:pPr>
            <w:r>
              <w:rPr>
                <w:rFonts w:ascii="Microsoft JhengHei" w:hAnsi="Microsoft JhengHei" w:eastAsia="Microsoft JhengHei"/>
                <w:b w:val="0"/>
                <w:sz w:val="15"/>
              </w:rPr>
              <w:t>[待補]</w:t>
            </w:r>
          </w:p>
        </w:tc>
        <w:tc>
          <w:tcPr>
            <w:tcW w:type="dxa" w:w="2001"/>
            <w:vAlign w:val="center"/>
          </w:tcPr>
          <w:p>
            <w:pPr>
              <w:spacing w:before="0" w:after="0" w:line="240" w:lineRule="auto"/>
            </w:pPr>
            <w:r>
              <w:rPr>
                <w:rFonts w:ascii="Microsoft JhengHei" w:hAnsi="Microsoft JhengHei" w:eastAsia="Microsoft JhengHei"/>
                <w:b w:val="0"/>
                <w:sz w:val="15"/>
              </w:rPr>
              <w:t>[待補]</w:t>
            </w:r>
          </w:p>
        </w:tc>
        <w:tc>
          <w:tcPr>
            <w:tcW w:type="dxa" w:w="2001"/>
            <w:vAlign w:val="center"/>
          </w:tcPr>
          <w:p>
            <w:pPr>
              <w:spacing w:before="0" w:after="0" w:line="240" w:lineRule="auto"/>
            </w:pPr>
            <w:r>
              <w:rPr>
                <w:rFonts w:ascii="Microsoft JhengHei" w:hAnsi="Microsoft JhengHei" w:eastAsia="Microsoft JhengHei"/>
                <w:b w:val="0"/>
                <w:sz w:val="15"/>
              </w:rPr>
              <w:t>[待補]</w:t>
            </w:r>
          </w:p>
        </w:tc>
        <w:tc>
          <w:tcPr>
            <w:tcW w:type="dxa" w:w="2001"/>
            <w:vAlign w:val="center"/>
          </w:tcPr>
          <w:p>
            <w:pPr>
              <w:spacing w:before="0" w:after="0" w:line="240" w:lineRule="auto"/>
            </w:pPr>
            <w:r>
              <w:rPr>
                <w:rFonts w:ascii="Microsoft JhengHei" w:hAnsi="Microsoft JhengHei" w:eastAsia="Microsoft JhengHei"/>
                <w:b w:val="0"/>
                <w:sz w:val="15"/>
              </w:rPr>
              <w:t>[待補]</w:t>
            </w:r>
          </w:p>
        </w:tc>
        <w:tc>
          <w:tcPr>
            <w:tcW w:type="dxa" w:w="2001"/>
            <w:vAlign w:val="center"/>
          </w:tcPr>
          <w:p>
            <w:pPr>
              <w:spacing w:before="0" w:after="0" w:line="240" w:lineRule="auto"/>
            </w:pPr>
            <w:r>
              <w:rPr>
                <w:rFonts w:ascii="Microsoft JhengHei" w:hAnsi="Microsoft JhengHei" w:eastAsia="Microsoft JhengHei"/>
                <w:b w:val="0"/>
                <w:sz w:val="15"/>
              </w:rPr>
              <w:t>[待補]</w:t>
            </w:r>
          </w:p>
        </w:tc>
      </w:tr>
    </w:tbl>
    <w:p>
      <w:pPr>
        <w:spacing w:after="0"/>
      </w:pPr>
    </w:p>
    <w:p>
      <w:r/>
    </w:p>
    <w:p>
      <w:pPr>
        <w:pStyle w:val="Heading1"/>
        <w:keepNext/>
      </w:pPr>
      <w:r>
        <w:rPr>
          <w:rFonts w:ascii="Microsoft JhengHei" w:hAnsi="Microsoft JhengHei" w:eastAsia="Microsoft JhengHei"/>
          <w:b/>
          <w:color w:val="183B63"/>
          <w:sz w:val="30"/>
        </w:rPr>
        <w:t>結果判讀與後續處理</w:t>
      </w:r>
    </w:p>
    <w:p>
      <w:pPr>
        <w:pStyle w:val="Heading2"/>
        <w:keepNext/>
      </w:pPr>
      <w:r>
        <w:rPr>
          <w:rFonts w:ascii="Microsoft JhengHei" w:hAnsi="Microsoft JhengHei" w:eastAsia="Microsoft JhengHei"/>
          <w:b/>
          <w:color w:val="245A81"/>
          <w:sz w:val="24"/>
        </w:rPr>
        <w:t>三、計算、驗證與歸因</w:t>
      </w:r>
    </w:p>
    <w:tbl>
      <w:tblPr>
        <w:tblStyle w:val="TableGrid"/>
        <w:tblW w:type="auto" w:w="0"/>
        <w:jc w:val="center"/>
        <w:tblLayout w:type="fixed"/>
        <w:tblLook w:firstColumn="1" w:firstRow="1" w:lastColumn="0" w:lastRow="0" w:noHBand="0" w:noVBand="1" w:val="04A0"/>
      </w:tblPr>
      <w:tblGrid>
        <w:gridCol w:w="5003"/>
        <w:gridCol w:w="5003"/>
      </w:tblGrid>
      <w:tr>
        <w:trPr>
          <w:tblHeader w:val="true"/>
        </w:trPr>
        <w:tc>
          <w:tcPr>
            <w:tcW w:type="dxa" w:w="2232"/>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5"/>
              </w:rPr>
              <w:t>核對項目</w:t>
            </w:r>
          </w:p>
        </w:tc>
        <w:tc>
          <w:tcPr>
            <w:tcW w:type="dxa" w:w="7776"/>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5"/>
              </w:rPr>
              <w:t>方法及紀錄</w:t>
            </w:r>
          </w:p>
        </w:tc>
      </w:tr>
      <w:tr>
        <w:tc>
          <w:tcPr>
            <w:tcW w:type="dxa" w:w="223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計算口徑</w:t>
            </w:r>
          </w:p>
        </w:tc>
        <w:tc>
          <w:tcPr>
            <w:tcW w:type="dxa" w:w="7776"/>
            <w:vAlign w:val="center"/>
            <w:tcMar>
              <w:top w:w="85" w:type="dxa"/>
              <w:start w:w="95" w:type="dxa"/>
              <w:bottom w:w="85" w:type="dxa"/>
              <w:end w:w="95" w:type="dxa"/>
            </w:tcMar>
          </w:tcPr>
          <w:p>
            <w:pPr>
              <w:spacing w:before="0" w:after="0" w:line="240" w:lineRule="auto"/>
            </w:pPr>
            <w:r>
              <w:rPr>
                <w:rFonts w:ascii="Microsoft JhengHei" w:hAnsi="Microsoft JhengHei" w:eastAsia="Microsoft JhengHei"/>
                <w:b w:val="0"/>
                <w:sz w:val="15"/>
              </w:rPr>
              <w:t>成果率＝符合成果人數÷可評估人數；變化率＝(比較期實績−基準期實績)÷基準期實績。各項列期間、樣本n、分子／分母與來源。基準為0或不可比時只列絕對差並說明；目標須事前核定，不得事後挑選。</w:t>
            </w:r>
          </w:p>
        </w:tc>
      </w:tr>
      <w:tr>
        <w:tc>
          <w:tcPr>
            <w:tcW w:type="dxa" w:w="223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顯著／具體判讀</w:t>
            </w:r>
          </w:p>
        </w:tc>
        <w:tc>
          <w:tcPr>
            <w:tcW w:type="dxa" w:w="777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先定義有實務意義的變化及資料品質門檻，再與來源、樣本、趨勢及原始記錄核對；不得事後挑選有利指標。</w:t>
            </w:r>
          </w:p>
        </w:tc>
      </w:tr>
      <w:tr>
        <w:tc>
          <w:tcPr>
            <w:tcW w:type="dxa" w:w="223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其他影響因素</w:t>
            </w:r>
          </w:p>
        </w:tc>
        <w:tc>
          <w:tcPr>
            <w:tcW w:type="dxa" w:w="777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[待補：市場、政策、資源、人員或課程內容變動及其可能影響]。</w:t>
            </w:r>
          </w:p>
        </w:tc>
      </w:tr>
      <w:tr>
        <w:tc>
          <w:tcPr>
            <w:tcW w:type="dxa" w:w="223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訓練關聯與限制</w:t>
            </w:r>
          </w:p>
        </w:tc>
        <w:tc>
          <w:tcPr>
            <w:tcW w:type="dxa" w:w="777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[待補：說明關聯證據、其他原因、樣本限制；不得僅憑前後差異歸因訓練]。</w:t>
            </w:r>
          </w:p>
        </w:tc>
      </w:tr>
    </w:tbl>
    <w:p>
      <w:pPr>
        <w:spacing w:after="0"/>
      </w:pPr>
    </w:p>
    <w:p>
      <w:pPr>
        <w:pStyle w:val="Heading2"/>
        <w:keepNext/>
      </w:pPr>
      <w:r>
        <w:rPr>
          <w:rFonts w:ascii="Microsoft JhengHei" w:hAnsi="Microsoft JhengHei" w:eastAsia="Microsoft JhengHei"/>
          <w:b/>
          <w:color w:val="245A81"/>
          <w:sz w:val="24"/>
        </w:rPr>
        <w:t>四、結論與改善決定</w:t>
      </w:r>
    </w:p>
    <w:tbl>
      <w:tblPr>
        <w:tblStyle w:val="TableGrid"/>
        <w:tblW w:type="auto" w:w="0"/>
        <w:jc w:val="center"/>
        <w:tblLayout w:type="fixed"/>
        <w:tblLook w:firstColumn="1" w:firstRow="1" w:lastColumn="0" w:lastRow="0" w:noHBand="0" w:noVBand="1" w:val="04A0"/>
      </w:tblPr>
      <w:tblGrid>
        <w:gridCol w:w="5003"/>
        <w:gridCol w:w="5003"/>
      </w:tblGrid>
      <w:tr>
        <w:trPr>
          <w:tblHeader w:val="true"/>
        </w:trPr>
        <w:tc>
          <w:tcPr>
            <w:tcW w:type="dxa" w:w="2232"/>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5"/>
              </w:rPr>
              <w:t>欄位</w:t>
            </w:r>
          </w:p>
        </w:tc>
        <w:tc>
          <w:tcPr>
            <w:tcW w:type="dxa" w:w="7776"/>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5"/>
              </w:rPr>
              <w:t>實際資料／待填</w:t>
            </w:r>
          </w:p>
        </w:tc>
      </w:tr>
      <w:tr>
        <w:tc>
          <w:tcPr>
            <w:tcW w:type="dxa" w:w="223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市場與顧客結論</w:t>
            </w:r>
          </w:p>
        </w:tc>
        <w:tc>
          <w:tcPr>
            <w:tcW w:type="dxa" w:w="777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[待填：逐一判定提升／無變化／下降／證據不足]。</w:t>
            </w:r>
          </w:p>
        </w:tc>
      </w:tr>
      <w:tr>
        <w:tc>
          <w:tcPr>
            <w:tcW w:type="dxa" w:w="223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需改善事項</w:t>
            </w:r>
          </w:p>
        </w:tc>
        <w:tc>
          <w:tcPr>
            <w:tcW w:type="dxa" w:w="777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[待補：措施、負責人、期限與下一次資料檢查]。</w:t>
            </w:r>
          </w:p>
        </w:tc>
      </w:tr>
      <w:tr>
        <w:tc>
          <w:tcPr>
            <w:tcW w:type="dxa" w:w="223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資料限制與附件</w:t>
            </w:r>
          </w:p>
        </w:tc>
        <w:tc>
          <w:tcPr>
            <w:tcW w:type="dxa" w:w="777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[待補：缺值、未回覆、來源位置及交叉參照文件]。</w:t>
            </w:r>
          </w:p>
        </w:tc>
      </w:tr>
    </w:tbl>
    <w:p>
      <w:pPr>
        <w:spacing w:after="0"/>
      </w:pPr>
    </w:p>
    <w:p>
      <w:pPr>
        <w:pStyle w:val="Heading2"/>
        <w:keepNext/>
      </w:pPr>
      <w:r>
        <w:rPr>
          <w:rFonts w:ascii="Microsoft JhengHei" w:hAnsi="Microsoft JhengHei" w:eastAsia="Microsoft JhengHei"/>
          <w:b/>
          <w:color w:val="245A81"/>
          <w:sz w:val="24"/>
        </w:rPr>
        <w:t>資料來源與核對索引</w:t>
      </w:r>
    </w:p>
    <w:tbl>
      <w:tblPr>
        <w:tblStyle w:val="TableGrid"/>
        <w:tblW w:type="auto" w:w="0"/>
        <w:jc w:val="center"/>
        <w:tblLayout w:type="fixed"/>
        <w:tblLook w:firstColumn="1" w:firstRow="1" w:lastColumn="0" w:lastRow="0" w:noHBand="0" w:noVBand="1" w:val="04A0"/>
      </w:tblPr>
      <w:tblGrid>
        <w:gridCol w:w="2501"/>
        <w:gridCol w:w="2501"/>
        <w:gridCol w:w="2501"/>
        <w:gridCol w:w="2501"/>
      </w:tblGrid>
      <w:tr>
        <w:trPr>
          <w:tblHeader w:val="true"/>
        </w:trPr>
        <w:tc>
          <w:tcPr>
            <w:tcW w:type="dxa" w:w="2232"/>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5"/>
              </w:rPr>
              <w:t>資料項目</w:t>
            </w:r>
          </w:p>
        </w:tc>
        <w:tc>
          <w:tcPr>
            <w:tcW w:type="dxa" w:w="1944"/>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5"/>
              </w:rPr>
              <w:t>來源狀態</w:t>
            </w:r>
          </w:p>
        </w:tc>
        <w:tc>
          <w:tcPr>
            <w:tcW w:type="dxa" w:w="4392"/>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5"/>
              </w:rPr>
              <w:t>檔名／位置／頁次</w:t>
            </w:r>
          </w:p>
        </w:tc>
        <w:tc>
          <w:tcPr>
            <w:tcW w:type="dxa" w:w="1440"/>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5"/>
              </w:rPr>
              <w:t>覆核</w:t>
            </w:r>
          </w:p>
        </w:tc>
      </w:tr>
      <w:tr>
        <w:tc>
          <w:tcPr>
            <w:tcW w:type="dxa" w:w="223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官方查核項目</w:t>
            </w:r>
          </w:p>
        </w:tc>
        <w:tc>
          <w:tcPr>
            <w:tcW w:type="dxa" w:w="194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已核對原始查核表</w:t>
            </w:r>
          </w:p>
        </w:tc>
        <w:tc>
          <w:tcPr>
            <w:tcW w:type="dxa" w:w="439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第8–9頁，依各項清冊頁次</w:t>
            </w:r>
          </w:p>
        </w:tc>
        <w:tc>
          <w:tcPr>
            <w:tcW w:type="dxa" w:w="144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已核</w:t>
            </w:r>
          </w:p>
        </w:tc>
      </w:tr>
      <w:tr>
        <w:tc>
          <w:tcPr>
            <w:tcW w:type="dxa" w:w="223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目標市場範圍與年度經營資料</w:t>
            </w:r>
          </w:p>
        </w:tc>
        <w:tc>
          <w:tcPr>
            <w:tcW w:type="dxa" w:w="194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待取得或待補</w:t>
            </w:r>
          </w:p>
        </w:tc>
        <w:tc>
          <w:tcPr>
            <w:tcW w:type="dxa" w:w="439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[檔名／日期／頁次／欄位]</w:t>
            </w:r>
          </w:p>
        </w:tc>
        <w:tc>
          <w:tcPr>
            <w:tcW w:type="dxa" w:w="144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[待核]</w:t>
            </w:r>
          </w:p>
        </w:tc>
      </w:tr>
      <w:tr>
        <w:tc>
          <w:tcPr>
            <w:tcW w:type="dxa" w:w="223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顧客價值指標原始紀錄及佐證</w:t>
            </w:r>
          </w:p>
        </w:tc>
        <w:tc>
          <w:tcPr>
            <w:tcW w:type="dxa" w:w="194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待取得或待補</w:t>
            </w:r>
          </w:p>
        </w:tc>
        <w:tc>
          <w:tcPr>
            <w:tcW w:type="dxa" w:w="439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[檔名／日期／頁次／欄位]</w:t>
            </w:r>
          </w:p>
        </w:tc>
        <w:tc>
          <w:tcPr>
            <w:tcW w:type="dxa" w:w="144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[待核]</w:t>
            </w:r>
          </w:p>
        </w:tc>
      </w:tr>
    </w:tbl>
    <w:p>
      <w:pPr>
        <w:spacing w:after="0"/>
      </w:pPr>
    </w:p>
    <w:p>
      <w:pPr>
        <w:pStyle w:val="Heading2"/>
        <w:keepNext/>
      </w:pPr>
      <w:r>
        <w:rPr>
          <w:rFonts w:ascii="Microsoft JhengHei" w:hAnsi="Microsoft JhengHei" w:eastAsia="Microsoft JhengHei"/>
          <w:b/>
          <w:color w:val="245A81"/>
          <w:sz w:val="24"/>
        </w:rPr>
        <w:t>填寫確認</w:t>
      </w:r>
    </w:p>
    <w:tbl>
      <w:tblPr>
        <w:tblStyle w:val="TableGrid"/>
        <w:tblW w:type="auto" w:w="0"/>
        <w:jc w:val="center"/>
        <w:tblLayout w:type="fixed"/>
        <w:tblLook w:firstColumn="1" w:firstRow="1" w:lastColumn="0" w:lastRow="0" w:noHBand="0" w:noVBand="1" w:val="04A0"/>
      </w:tblPr>
      <w:tblGrid>
        <w:gridCol w:w="3335"/>
        <w:gridCol w:w="3335"/>
        <w:gridCol w:w="3335"/>
      </w:tblGrid>
      <w:tr>
        <w:trPr>
          <w:tblHeader w:val="true"/>
        </w:trPr>
        <w:tc>
          <w:tcPr>
            <w:tcW w:type="dxa" w:w="2880"/>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5"/>
              </w:rPr>
              <w:t>承辦人／日期</w:t>
            </w:r>
          </w:p>
        </w:tc>
        <w:tc>
          <w:tcPr>
            <w:tcW w:type="dxa" w:w="2880"/>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5"/>
              </w:rPr>
              <w:t>覆核人／日期</w:t>
            </w:r>
          </w:p>
        </w:tc>
        <w:tc>
          <w:tcPr>
            <w:tcW w:type="dxa" w:w="4248"/>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5"/>
              </w:rPr>
              <w:t>資料缺漏及後續處理</w:t>
            </w:r>
          </w:p>
        </w:tc>
      </w:tr>
      <w:tr>
        <w:tc>
          <w:tcPr>
            <w:tcW w:type="dxa" w:w="288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[待實際填寫]</w:t>
            </w:r>
          </w:p>
        </w:tc>
        <w:tc>
          <w:tcPr>
            <w:tcW w:type="dxa" w:w="288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[待實際填寫]</w:t>
            </w:r>
          </w:p>
        </w:tc>
        <w:tc>
          <w:tcPr>
            <w:tcW w:type="dxa" w:w="424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[待補資料／責任角色／期限]</w:t>
            </w:r>
          </w:p>
        </w:tc>
      </w:tr>
      <w:tr>
        <w:tc>
          <w:tcPr>
            <w:tcW w:type="dxa" w:w="288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資料完整性：□完整 □待補</w:t>
            </w:r>
          </w:p>
        </w:tc>
        <w:tc>
          <w:tcPr>
            <w:tcW w:type="dxa" w:w="288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授權狀態：□已核 □待核 □不適用</w:t>
            </w:r>
          </w:p>
        </w:tc>
        <w:tc>
          <w:tcPr>
            <w:tcW w:type="dxa" w:w="424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[待補]</w:t>
            </w:r>
          </w:p>
        </w:tc>
      </w:tr>
    </w:tbl>
    <w:p>
      <w:pPr>
        <w:spacing w:after="0"/>
      </w:pPr>
    </w:p>
    <w:sectPr w:rsidR="00FC693F" w:rsidRPr="0006063C" w:rsidSect="00034616">
      <w:headerReference w:type="default" r:id="rId9"/>
      <w:footerReference w:type="default" r:id="rId10"/>
      <w:pgSz w:w="11906" w:h="16838"/>
      <w:pgMar w:top="893" w:right="950" w:bottom="893" w:left="950"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Microsoft JhengHei" w:hAnsi="Microsoft JhengHei" w:eastAsia="Microsoft JhengHei"/>
        <w:b w:val="0"/>
        <w:color w:val="62748A"/>
        <w:sz w:val="16"/>
      </w:rPr>
      <w:t xml:space="preserve">第 </w:t>
    </w:r>
    <w:r>
      <w:rPr>
        <w:rFonts w:ascii="Microsoft JhengHei" w:hAnsi="Microsoft JhengHei" w:eastAsia="Microsoft JhengHei"/>
        <w:b w:val="0"/>
        <w:color w:val="62748A"/>
        <w:sz w:val="16"/>
      </w:rPr>
      <w:fldChar w:fldCharType="begin"/>
    </w:r>
    <w:r>
      <w:rPr>
        <w:rFonts w:ascii="Microsoft JhengHei" w:hAnsi="Microsoft JhengHei" w:eastAsia="Microsoft JhengHei"/>
        <w:b w:val="0"/>
        <w:color w:val="62748A"/>
        <w:sz w:val="16"/>
      </w:rPr>
      <w:instrText xml:space="preserve"> PAGE </w:instrText>
    </w:r>
    <w:r>
      <w:rPr>
        <w:rFonts w:ascii="Microsoft JhengHei" w:hAnsi="Microsoft JhengHei" w:eastAsia="Microsoft JhengHei"/>
        <w:b w:val="0"/>
        <w:color w:val="62748A"/>
        <w:sz w:val="16"/>
      </w:rPr>
      <w:fldChar w:fldCharType="end"/>
    </w:r>
    <w:r>
      <w:rPr>
        <w:rFonts w:ascii="Microsoft JhengHei" w:hAnsi="Microsoft JhengHei" w:eastAsia="Microsoft JhengHei"/>
        <w:b w:val="0"/>
        <w:color w:val="62748A"/>
        <w:sz w:val="16"/>
      </w:rPr>
      <w:t xml:space="preserve"> 頁</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Microsoft JhengHei" w:hAnsi="Microsoft JhengHei" w:eastAsia="Microsoft JhengHei"/>
        <w:b w:val="0"/>
        <w:color w:val="62748A"/>
        <w:sz w:val="16"/>
      </w:rPr>
      <w:t>社團法人屏東縣原始點關懷協會｜工作稿</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before="0" w:after="100"/>
    </w:pPr>
    <w:rPr>
      <w:rFonts w:ascii="Microsoft JhengHei" w:hAnsi="Microsoft JhengHei" w:eastAsia="Microsoft JhengHei"/>
      <w:b w:val="0"/>
      <w:color w:val="24364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Microsoft JhengHei" w:hAnsi="Microsoft JhengHei" w:eastAsia="Microsoft JhengHei"/>
      <w:b/>
      <w:bCs/>
      <w:color w:val="183B63"/>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Microsoft JhengHei" w:hAnsi="Microsoft JhengHei" w:eastAsia="Microsoft JhengHei"/>
      <w:b/>
      <w:bCs/>
      <w:color w:val="245A8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80" w:line="240" w:lineRule="auto" w:before="160"/>
      <w:contextualSpacing/>
    </w:pPr>
    <w:rPr>
      <w:rFonts w:asciiTheme="majorHAnsi" w:eastAsiaTheme="majorEastAsia" w:hAnsiTheme="majorHAnsi" w:cstheme="majorBidi" w:ascii="Microsoft JhengHei" w:hAnsi="Microsoft JhengHei" w:eastAsia="Microsoft JhengHei"/>
      <w:b/>
      <w:color w:val="183B63"/>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目標市場與顧客價值具體提升成效分析報告</dc:title>
  <dc:subject>TTQS指標19成果佐證工作稿</dc:subject>
  <dc:creator>社團法人屏東縣原始點關懷協會</dc:creator>
  <cp:keywords/>
  <dc:description>generated by python-docx</dc:description>
  <cp:lastModifiedBy/>
  <cp:revision>1</cp:revision>
  <dcterms:created xsi:type="dcterms:W3CDTF">2013-12-23T23:15:00Z</dcterms:created>
  <dcterms:modified xsi:type="dcterms:W3CDTF">2013-12-23T23:15:00Z</dcterms:modified>
  <cp:category/>
</cp:coreProperties>
</file>