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0" w:after="40" w:line="240" w:lineRule="auto"/>
        <w:jc w:val="center"/>
      </w:pPr>
      <w:r>
        <w:rPr>
          <w:rFonts w:ascii="Noto Sans CJK TC" w:hAnsi="Noto Sans CJK TC" w:eastAsia="Noto Sans CJK TC"/>
          <w:b/>
          <w:color w:val="244A53"/>
          <w:sz w:val="34"/>
        </w:rPr>
        <w:t>社團法人屏東縣原始點關懷協會</w:t>
      </w:r>
    </w:p>
    <w:p>
      <w:pPr>
        <w:keepNext w:val="0"/>
        <w:spacing w:before="0" w:after="40" w:line="240" w:lineRule="auto"/>
        <w:jc w:val="center"/>
      </w:pPr>
      <w:r>
        <w:rPr>
          <w:rFonts w:ascii="Noto Sans CJK TC" w:hAnsi="Noto Sans CJK TC" w:eastAsia="Noto Sans CJK TC"/>
          <w:b/>
          <w:color w:val="244A53"/>
          <w:sz w:val="46"/>
        </w:rPr>
        <w:t>中長程業務發展規劃與策略地圖</w:t>
      </w:r>
    </w:p>
    <w:p>
      <w:pPr>
        <w:keepNext w:val="0"/>
        <w:spacing w:before="0" w:after="160" w:line="240" w:lineRule="auto"/>
        <w:jc w:val="center"/>
      </w:pPr>
      <w:r>
        <w:rPr>
          <w:rFonts w:ascii="Noto Sans CJK TC" w:hAnsi="Noto Sans CJK TC" w:eastAsia="Noto Sans CJK TC"/>
          <w:b w:val="0"/>
          <w:color w:val="4F7F86"/>
          <w:sz w:val="21"/>
        </w:rPr>
        <w:t>人才發展品質管理系統　訓練機構版　評核指標一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AF3F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244A53"/>
                <w:sz w:val="21"/>
              </w:rPr>
              <w:t>使用目的</w:t>
            </w:r>
          </w:p>
        </w:tc>
        <w:tc>
          <w:tcPr>
            <w:tcW w:type="dxa" w:w="8352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說明協會未來發展、服務對象、課程發展及年度調整方式</w:t>
            </w:r>
          </w:p>
        </w:tc>
      </w:tr>
      <w:tr>
        <w:tc>
          <w:tcPr>
            <w:tcW w:type="dxa" w:w="1944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AF3F4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244A53"/>
                <w:sz w:val="21"/>
              </w:rPr>
              <w:t>規劃期間</w:t>
            </w:r>
          </w:p>
        </w:tc>
        <w:tc>
          <w:tcPr>
            <w:tcW w:type="dxa" w:w="8352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以未來三年為規劃範圍，每年依實際人力、師資、場地、市場需求與收支情形調整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96"/>
            <w:shd w:fill="F8F0E4"/>
            <w:tcBorders>
              <w:top w:val="single" w:sz="6" w:color="E0C99D"/>
              <w:left w:val="single" w:sz="6" w:color="E0C99D"/>
              <w:bottom w:val="single" w:sz="6" w:color="E0C99D"/>
              <w:right w:val="single" w:sz="6" w:color="E0C99D"/>
              <w:insideH w:val="single" w:sz="6" w:color="E0C99D"/>
              <w:insideV w:val="single" w:sz="6" w:color="E0C99D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1"/>
              </w:rPr>
              <w:t>協會以健康教育、傳統整復推拿技術及社區服務經驗為核心，優先穩定核心課程，再依一般民眾與在職工作者的實際學習需求，逐步發展具有實際學習需求、可順利辦理且收支合理的多元課程，以訓練收入支持協會長期服務與發展。</w:t>
            </w:r>
          </w:p>
        </w:tc>
      </w:tr>
    </w:tbl>
    <w:p>
      <w:pPr>
        <w:spacing w:after="40"/>
      </w:pPr>
    </w:p>
    <w:p>
      <w:pPr>
        <w:keepNext/>
        <w:spacing w:before="160" w:after="120" w:line="240" w:lineRule="auto"/>
      </w:pPr>
      <w:r>
        <w:rPr>
          <w:rFonts w:ascii="Noto Sans CJK TC" w:hAnsi="Noto Sans CJK TC" w:eastAsia="Noto Sans CJK TC"/>
          <w:b/>
          <w:color w:val="244A53"/>
          <w:sz w:val="34"/>
        </w:rPr>
        <w:t>未來發展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1612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EAF3F4"/>
            <w:tcBorders>
              <w:top w:val="single" w:sz="8" w:color="4F7F86"/>
              <w:left w:val="single" w:sz="8" w:color="4F7F86"/>
              <w:bottom w:val="single" w:sz="8" w:color="4F7F86"/>
              <w:right w:val="single" w:sz="8" w:color="4F7F86"/>
              <w:insideH w:val="single" w:sz="8" w:color="4F7F86"/>
              <w:insideV w:val="single" w:sz="8" w:color="4F7F86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244A53"/>
                <w:sz w:val="19"/>
              </w:rPr>
              <w:t>既有專長</w:t>
            </w:r>
          </w:p>
        </w:tc>
        <w:tc>
          <w:tcPr>
            <w:tcW w:type="dxa" w:w="331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FFFFFF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C38A3B"/>
                <w:sz w:val="28"/>
              </w:rPr>
              <w:t>→</w:t>
            </w:r>
          </w:p>
        </w:tc>
        <w:tc>
          <w:tcPr>
            <w:tcW w:type="dxa" w:w="1612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EAF3F4"/>
            <w:tcBorders>
              <w:top w:val="single" w:sz="8" w:color="4F7F86"/>
              <w:left w:val="single" w:sz="8" w:color="4F7F86"/>
              <w:bottom w:val="single" w:sz="8" w:color="4F7F86"/>
              <w:right w:val="single" w:sz="8" w:color="4F7F86"/>
              <w:insideH w:val="single" w:sz="8" w:color="4F7F86"/>
              <w:insideV w:val="single" w:sz="8" w:color="4F7F86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244A53"/>
                <w:sz w:val="19"/>
              </w:rPr>
              <w:t>鞏固核心課程</w:t>
            </w:r>
          </w:p>
        </w:tc>
        <w:tc>
          <w:tcPr>
            <w:tcW w:type="dxa" w:w="331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FFFFFF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C38A3B"/>
                <w:sz w:val="28"/>
              </w:rPr>
              <w:t>→</w:t>
            </w:r>
          </w:p>
        </w:tc>
        <w:tc>
          <w:tcPr>
            <w:tcW w:type="dxa" w:w="1612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EAF3F4"/>
            <w:tcBorders>
              <w:top w:val="single" w:sz="8" w:color="4F7F86"/>
              <w:left w:val="single" w:sz="8" w:color="4F7F86"/>
              <w:bottom w:val="single" w:sz="8" w:color="4F7F86"/>
              <w:right w:val="single" w:sz="8" w:color="4F7F86"/>
              <w:insideH w:val="single" w:sz="8" w:color="4F7F86"/>
              <w:insideV w:val="single" w:sz="8" w:color="4F7F86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244A53"/>
                <w:sz w:val="19"/>
              </w:rPr>
              <w:t>盤點市場需求</w:t>
            </w:r>
          </w:p>
        </w:tc>
        <w:tc>
          <w:tcPr>
            <w:tcW w:type="dxa" w:w="331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FFFFFF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C38A3B"/>
                <w:sz w:val="28"/>
              </w:rPr>
              <w:t>→</w:t>
            </w:r>
          </w:p>
        </w:tc>
        <w:tc>
          <w:tcPr>
            <w:tcW w:type="dxa" w:w="1612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EAF3F4"/>
            <w:tcBorders>
              <w:top w:val="single" w:sz="8" w:color="4F7F86"/>
              <w:left w:val="single" w:sz="8" w:color="4F7F86"/>
              <w:bottom w:val="single" w:sz="8" w:color="4F7F86"/>
              <w:right w:val="single" w:sz="8" w:color="4F7F86"/>
              <w:insideH w:val="single" w:sz="8" w:color="4F7F86"/>
              <w:insideV w:val="single" w:sz="8" w:color="4F7F86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244A53"/>
                <w:sz w:val="19"/>
              </w:rPr>
              <w:t>小規模試辦</w:t>
            </w:r>
          </w:p>
        </w:tc>
        <w:tc>
          <w:tcPr>
            <w:tcW w:type="dxa" w:w="331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FFFFFF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C38A3B"/>
                <w:sz w:val="28"/>
              </w:rPr>
              <w:t>→</w:t>
            </w:r>
          </w:p>
        </w:tc>
        <w:tc>
          <w:tcPr>
            <w:tcW w:type="dxa" w:w="1612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EAF3F4"/>
            <w:tcBorders>
              <w:top w:val="single" w:sz="8" w:color="4F7F86"/>
              <w:left w:val="single" w:sz="8" w:color="4F7F86"/>
              <w:bottom w:val="single" w:sz="8" w:color="4F7F86"/>
              <w:right w:val="single" w:sz="8" w:color="4F7F86"/>
              <w:insideH w:val="single" w:sz="8" w:color="4F7F86"/>
              <w:insideV w:val="single" w:sz="8" w:color="4F7F86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244A53"/>
                <w:sz w:val="19"/>
              </w:rPr>
              <w:t>保留適切課程</w:t>
            </w:r>
          </w:p>
        </w:tc>
        <w:tc>
          <w:tcPr>
            <w:tcW w:type="dxa" w:w="331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FFFFFF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C38A3B"/>
                <w:sz w:val="28"/>
              </w:rPr>
              <w:t>→</w:t>
            </w:r>
          </w:p>
        </w:tc>
        <w:tc>
          <w:tcPr>
            <w:tcW w:type="dxa" w:w="1612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EAF3F4"/>
            <w:tcBorders>
              <w:top w:val="single" w:sz="8" w:color="4F7F86"/>
              <w:left w:val="single" w:sz="8" w:color="4F7F86"/>
              <w:bottom w:val="single" w:sz="8" w:color="4F7F86"/>
              <w:right w:val="single" w:sz="8" w:color="4F7F86"/>
              <w:insideH w:val="single" w:sz="8" w:color="4F7F86"/>
              <w:insideV w:val="single" w:sz="8" w:color="4F7F86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244A53"/>
                <w:sz w:val="19"/>
              </w:rPr>
              <w:t>收入支持協會服務</w:t>
            </w:r>
          </w:p>
        </w:tc>
      </w:tr>
    </w:tbl>
    <w:p>
      <w:pPr>
        <w:spacing w:after="40"/>
      </w:pPr>
    </w:p>
    <w:p>
      <w:pPr>
        <w:keepNext/>
        <w:spacing w:before="160" w:after="120" w:line="240" w:lineRule="auto"/>
      </w:pPr>
      <w:r>
        <w:rPr>
          <w:rFonts w:ascii="Noto Sans CJK TC" w:hAnsi="Noto Sans CJK TC" w:eastAsia="Noto Sans CJK TC"/>
          <w:b/>
          <w:color w:val="244A53"/>
          <w:sz w:val="34"/>
        </w:rPr>
        <w:t>發展原則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68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vAlign w:val="center"/>
            <w:shd w:fill="EDF4EE"/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TC" w:hAnsi="Noto Sans CJK TC" w:eastAsia="Noto Sans CJK TC"/>
                <w:b/>
                <w:color w:val="244A53"/>
                <w:sz w:val="23"/>
              </w:rPr>
              <w:t>核心優先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優先穩定健康教育、傳統整復推拿技術及社區服務相關課程。</w:t>
            </w:r>
          </w:p>
        </w:tc>
        <w:tc>
          <w:tcPr>
            <w:tcW w:type="dxa" w:w="5068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vAlign w:val="center"/>
            <w:shd w:fill="EAF3F4"/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TC" w:hAnsi="Noto Sans CJK TC" w:eastAsia="Noto Sans CJK TC"/>
                <w:b/>
                <w:color w:val="244A53"/>
                <w:sz w:val="23"/>
              </w:rPr>
              <w:t>依需求規劃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依學員詢問、合作單位需求、在地市場及政府當期重點培訓方向規劃新課程。</w:t>
            </w:r>
          </w:p>
        </w:tc>
      </w:tr>
      <w:tr>
        <w:tc>
          <w:tcPr>
            <w:tcW w:type="dxa" w:w="5068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vAlign w:val="center"/>
            <w:shd w:fill="F8F0E4"/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TC" w:hAnsi="Noto Sans CJK TC" w:eastAsia="Noto Sans CJK TC"/>
                <w:b/>
                <w:color w:val="244A53"/>
                <w:sz w:val="23"/>
              </w:rPr>
              <w:t>小規模試辦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新課程先採小規模方式辦理，依招生與執行情形逐步調整。</w:t>
            </w:r>
          </w:p>
        </w:tc>
        <w:tc>
          <w:tcPr>
            <w:tcW w:type="dxa" w:w="5068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vAlign w:val="center"/>
            <w:shd w:fill="F2F3F3"/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TC" w:hAnsi="Noto Sans CJK TC" w:eastAsia="Noto Sans CJK TC"/>
                <w:b/>
                <w:color w:val="244A53"/>
                <w:sz w:val="23"/>
              </w:rPr>
              <w:t>資源共用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教材、表單、講師資料、合作場地與行政作業盡量共用，降低重複準備工作，便於志工交接。</w:t>
            </w:r>
          </w:p>
        </w:tc>
      </w:tr>
    </w:tbl>
    <w:p>
      <w:pPr>
        <w:spacing w:after="40"/>
      </w:pPr>
    </w:p>
    <w:p>
      <w:pPr>
        <w:keepNext/>
        <w:pageBreakBefore/>
        <w:spacing w:before="160" w:after="120" w:line="240" w:lineRule="auto"/>
      </w:pPr>
      <w:r>
        <w:rPr>
          <w:rFonts w:ascii="Noto Sans CJK TC" w:hAnsi="Noto Sans CJK TC" w:eastAsia="Noto Sans CJK TC"/>
          <w:b/>
          <w:color w:val="244A53"/>
          <w:sz w:val="34"/>
        </w:rPr>
        <w:t>課程發展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96"/>
            <w:shd w:fill="F8F0E4"/>
            <w:tcBorders>
              <w:top w:val="single" w:sz="6" w:color="E0C99D"/>
              <w:left w:val="single" w:sz="6" w:color="E0C99D"/>
              <w:bottom w:val="single" w:sz="6" w:color="E0C99D"/>
              <w:right w:val="single" w:sz="6" w:color="E0C99D"/>
              <w:insideH w:val="single" w:sz="6" w:color="E0C99D"/>
              <w:insideV w:val="single" w:sz="6" w:color="E0C99D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1"/>
              </w:rPr>
              <w:t>協會以健康教育與傳統整復推拿技術為核心，並依市場需求彈性發展多元課程。規劃勞動部產業人才投資計畫或自費課程時，綜合考量需求、師資、場地、成本及收益，選擇適合辦理的課程。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088"/>
            <w:shd w:fill="244A53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課程定位</w:t>
            </w:r>
          </w:p>
        </w:tc>
        <w:tc>
          <w:tcPr>
            <w:tcW w:type="dxa" w:w="4536"/>
            <w:shd w:fill="244A53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可發展方向</w:t>
            </w:r>
          </w:p>
        </w:tc>
        <w:tc>
          <w:tcPr>
            <w:tcW w:type="dxa" w:w="3671"/>
            <w:shd w:fill="244A53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發展方式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核心課程</w:t>
            </w:r>
          </w:p>
        </w:tc>
        <w:tc>
          <w:tcPr>
            <w:tcW w:type="dxa" w:w="4536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健康教育</w:t>
              <w:br/>
              <w:t>傳統整復推拿技術</w:t>
              <w:br/>
              <w:t>社區健康活動帶領</w:t>
              <w:br/>
              <w:t>志工與社區服務相關課程</w:t>
            </w:r>
          </w:p>
        </w:tc>
        <w:tc>
          <w:tcPr>
            <w:tcW w:type="dxa" w:w="3671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以協會既有專長為基礎，作為長期主要發展課程。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一般教室可辦理課程</w:t>
            </w:r>
          </w:p>
        </w:tc>
        <w:tc>
          <w:tcPr>
            <w:tcW w:type="dxa" w:w="4536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人工智慧辦公與工作應用</w:t>
              <w:br/>
              <w:t>網路行銷與短影音</w:t>
              <w:br/>
              <w:t>在地商家宣傳與經營</w:t>
              <w:br/>
              <w:t>勞動法令與行政實務</w:t>
              <w:br/>
              <w:t>資料整理與工作效率</w:t>
              <w:br/>
              <w:t>高齡健康促進與活動帶領</w:t>
            </w:r>
          </w:p>
        </w:tc>
        <w:tc>
          <w:tcPr>
            <w:tcW w:type="dxa" w:w="3671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以一般教室及電腦即可辦理，可先採小規模試辦，依實際報名與執行情形調整。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具專用場地或設備需求課程</w:t>
            </w:r>
          </w:p>
        </w:tc>
        <w:tc>
          <w:tcPr>
            <w:tcW w:type="dxa" w:w="4536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烘焙甜點與食品製作</w:t>
              <w:br/>
              <w:t>咖啡與飲品調製</w:t>
              <w:br/>
              <w:t>美容彩妝與美甲</w:t>
              <w:br/>
              <w:t>冷氣清潔與居家水電</w:t>
              <w:br/>
              <w:t>財務理財與會計</w:t>
              <w:br/>
              <w:t>節能減碳與企業資料整理</w:t>
              <w:br/>
              <w:t>寵物照護與美容</w:t>
              <w:br/>
              <w:t>證照與產業專業技能</w:t>
            </w:r>
          </w:p>
        </w:tc>
        <w:tc>
          <w:tcPr>
            <w:tcW w:type="dxa" w:w="3671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於師資、場地、設備及招生需求具備時安排開班。</w:t>
            </w:r>
          </w:p>
        </w:tc>
      </w:tr>
    </w:tbl>
    <w:p>
      <w:pPr>
        <w:spacing w:after="40"/>
      </w:pPr>
    </w:p>
    <w:p>
      <w:pPr>
        <w:keepNext/>
        <w:spacing w:before="160" w:after="120" w:line="240" w:lineRule="auto"/>
      </w:pPr>
      <w:r>
        <w:rPr>
          <w:rFonts w:ascii="Noto Sans CJK TC" w:hAnsi="Noto Sans CJK TC" w:eastAsia="Noto Sans CJK TC"/>
          <w:b/>
          <w:color w:val="244A53"/>
          <w:sz w:val="34"/>
        </w:rPr>
        <w:t>服務對象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shd w:fill="244A53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服務對象</w:t>
            </w:r>
          </w:p>
        </w:tc>
        <w:tc>
          <w:tcPr>
            <w:tcW w:type="dxa" w:w="7128"/>
            <w:shd w:fill="244A53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主要需求</w:t>
            </w:r>
          </w:p>
        </w:tc>
      </w:tr>
      <w:tr>
        <w:tc>
          <w:tcPr>
            <w:tcW w:type="dxa" w:w="3168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一般成人與在職工作者</w:t>
            </w:r>
          </w:p>
        </w:tc>
        <w:tc>
          <w:tcPr>
            <w:tcW w:type="dxa" w:w="7128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提升實用技能、工作效率、第二專長或生活應用能力。</w:t>
            </w:r>
          </w:p>
        </w:tc>
      </w:tr>
      <w:tr>
        <w:tc>
          <w:tcPr>
            <w:tcW w:type="dxa" w:w="3168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社區居民與志工</w:t>
            </w:r>
          </w:p>
        </w:tc>
        <w:tc>
          <w:tcPr>
            <w:tcW w:type="dxa" w:w="7128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增進健康知識、社區服務、活動帶領與溝通能力。</w:t>
            </w:r>
          </w:p>
        </w:tc>
      </w:tr>
      <w:tr>
        <w:tc>
          <w:tcPr>
            <w:tcW w:type="dxa" w:w="3168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在地商家與自營工作者</w:t>
            </w:r>
          </w:p>
        </w:tc>
        <w:tc>
          <w:tcPr>
            <w:tcW w:type="dxa" w:w="7128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提升品牌經營、網路行銷、行政效率與顧客服務能力。</w:t>
            </w:r>
          </w:p>
        </w:tc>
      </w:tr>
      <w:tr>
        <w:tc>
          <w:tcPr>
            <w:tcW w:type="dxa" w:w="3168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轉職與進修者</w:t>
            </w:r>
          </w:p>
        </w:tc>
        <w:tc>
          <w:tcPr>
            <w:tcW w:type="dxa" w:w="7128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學習可直接應用於工作、接案、證照或職涯發展的技能。</w:t>
            </w:r>
          </w:p>
        </w:tc>
      </w:tr>
    </w:tbl>
    <w:p>
      <w:pPr>
        <w:spacing w:after="40"/>
      </w:pPr>
    </w:p>
    <w:p>
      <w:pPr>
        <w:keepNext/>
        <w:spacing w:before="160" w:after="120" w:line="240" w:lineRule="auto"/>
      </w:pPr>
      <w:r>
        <w:rPr>
          <w:rFonts w:ascii="Noto Sans CJK TC" w:hAnsi="Noto Sans CJK TC" w:eastAsia="Noto Sans CJK TC"/>
          <w:b/>
          <w:color w:val="244A53"/>
          <w:sz w:val="34"/>
        </w:rPr>
        <w:t>期間策略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944"/>
            <w:shd w:fill="244A53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期間</w:t>
            </w:r>
          </w:p>
        </w:tc>
        <w:tc>
          <w:tcPr>
            <w:tcW w:type="dxa" w:w="5688"/>
            <w:shd w:fill="244A53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主要策略</w:t>
            </w:r>
          </w:p>
        </w:tc>
        <w:tc>
          <w:tcPr>
            <w:tcW w:type="dxa" w:w="2664"/>
            <w:shd w:fill="244A53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預期成果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近期｜建立穩定辦課基礎</w:t>
            </w:r>
          </w:p>
        </w:tc>
        <w:tc>
          <w:tcPr>
            <w:tcW w:type="dxa" w:w="5688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完成核心課程開班準備。新課程開班前進行需求確認。使用共用表單、資料夾及固定作業順序。</w:t>
            </w:r>
          </w:p>
        </w:tc>
        <w:tc>
          <w:tcPr>
            <w:tcW w:type="dxa" w:w="2664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開班流程順暢、資料清楚，便於志工交接。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中期｜發展穩定課程方向</w:t>
            </w:r>
          </w:p>
        </w:tc>
        <w:tc>
          <w:tcPr>
            <w:tcW w:type="dxa" w:w="5688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依招生詢問、學員回饋、成本、師資及場地情形檢討課程。適合持續辦理的課程逐步穩定開班，並增加合作講師與合作場地。</w:t>
            </w:r>
          </w:p>
        </w:tc>
        <w:tc>
          <w:tcPr>
            <w:tcW w:type="dxa" w:w="2664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形成穩定課程方向，逐步增加訓練收入。</w:t>
            </w:r>
          </w:p>
        </w:tc>
      </w:tr>
      <w:tr>
        <w:tc>
          <w:tcPr>
            <w:tcW w:type="dxa" w:w="1944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長期｜建立持續發展能力</w:t>
            </w:r>
          </w:p>
        </w:tc>
        <w:tc>
          <w:tcPr>
            <w:tcW w:type="dxa" w:w="5688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核心課程持續展現協會特色，多元課程依市場需求調整。課程收入優先支應課程、行政及公益服務。</w:t>
            </w:r>
          </w:p>
        </w:tc>
        <w:tc>
          <w:tcPr>
            <w:tcW w:type="dxa" w:w="2664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19"/>
              </w:rPr>
              <w:t>形成較穩定的訓練收入與服務能力，支持協會長期發展。</w:t>
            </w:r>
          </w:p>
        </w:tc>
      </w:tr>
    </w:tbl>
    <w:p>
      <w:pPr>
        <w:spacing w:after="40"/>
      </w:pPr>
    </w:p>
    <w:p>
      <w:pPr>
        <w:keepNext/>
        <w:spacing w:before="160" w:after="120" w:line="240" w:lineRule="auto"/>
      </w:pPr>
      <w:r>
        <w:rPr>
          <w:rFonts w:ascii="Noto Sans CJK TC" w:hAnsi="Noto Sans CJK TC" w:eastAsia="Noto Sans CJK TC"/>
          <w:b/>
          <w:color w:val="244A53"/>
          <w:sz w:val="34"/>
        </w:rPr>
        <w:t>新課程評估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024"/>
            <w:shd w:fill="244A53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評估項目</w:t>
            </w:r>
          </w:p>
        </w:tc>
        <w:tc>
          <w:tcPr>
            <w:tcW w:type="dxa" w:w="7272"/>
            <w:shd w:fill="244A53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判斷方式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學習需求</w:t>
            </w:r>
          </w:p>
        </w:tc>
        <w:tc>
          <w:tcPr>
            <w:tcW w:type="dxa" w:w="7272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檢視學員詢問、社群回覆、合作單位需求及公開課程資訊。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師資條件</w:t>
            </w:r>
          </w:p>
        </w:tc>
        <w:tc>
          <w:tcPr>
            <w:tcW w:type="dxa" w:w="7272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確認具相關經歷、專長及教學能力的講師。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場地設備</w:t>
            </w:r>
          </w:p>
        </w:tc>
        <w:tc>
          <w:tcPr>
            <w:tcW w:type="dxa" w:w="7272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確認現有或合作場地可使用，設備及材料成本合理。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收支情形</w:t>
            </w:r>
          </w:p>
        </w:tc>
        <w:tc>
          <w:tcPr>
            <w:tcW w:type="dxa" w:w="7272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估算收入足以支應講師、場地、材料及基本行政費用。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發展方向</w:t>
            </w:r>
          </w:p>
        </w:tc>
        <w:tc>
          <w:tcPr>
            <w:tcW w:type="dxa" w:w="7272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確認課程與協會服務方向、相關規定及學員需求相符。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96"/>
            <w:shd w:fill="F8F0E4"/>
            <w:tcBorders>
              <w:top w:val="single" w:sz="6" w:color="E0C99D"/>
              <w:left w:val="single" w:sz="6" w:color="E0C99D"/>
              <w:bottom w:val="single" w:sz="6" w:color="E0C99D"/>
              <w:right w:val="single" w:sz="6" w:color="E0C99D"/>
              <w:insideH w:val="single" w:sz="6" w:color="E0C99D"/>
              <w:insideV w:val="single" w:sz="6" w:color="E0C99D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1"/>
              </w:rPr>
              <w:t>以上條件確認完成後進入開班規劃。需要補充資料的項目先完成確認，再決定開班方式與時間。</w:t>
            </w:r>
          </w:p>
        </w:tc>
      </w:tr>
    </w:tbl>
    <w:p>
      <w:pPr>
        <w:spacing w:after="40"/>
      </w:pPr>
    </w:p>
    <w:p>
      <w:pPr>
        <w:keepNext/>
        <w:pageBreakBefore/>
        <w:spacing w:before="160" w:after="120" w:line="240" w:lineRule="auto"/>
      </w:pPr>
      <w:r>
        <w:rPr>
          <w:rFonts w:ascii="Noto Sans CJK TC" w:hAnsi="Noto Sans CJK TC" w:eastAsia="Noto Sans CJK TC"/>
          <w:b/>
          <w:color w:val="244A53"/>
          <w:sz w:val="34"/>
        </w:rPr>
        <w:t>年度課程運作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1612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EAF3F4"/>
            <w:tcBorders>
              <w:top w:val="single" w:sz="8" w:color="4F7F86"/>
              <w:left w:val="single" w:sz="8" w:color="4F7F86"/>
              <w:bottom w:val="single" w:sz="8" w:color="4F7F86"/>
              <w:right w:val="single" w:sz="8" w:color="4F7F86"/>
              <w:insideH w:val="single" w:sz="8" w:color="4F7F86"/>
              <w:insideV w:val="single" w:sz="8" w:color="4F7F86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244A53"/>
                <w:sz w:val="19"/>
              </w:rPr>
              <w:t>盤點需求</w:t>
            </w:r>
          </w:p>
        </w:tc>
        <w:tc>
          <w:tcPr>
            <w:tcW w:type="dxa" w:w="331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FFFFFF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C38A3B"/>
                <w:sz w:val="28"/>
              </w:rPr>
              <w:t>→</w:t>
            </w:r>
          </w:p>
        </w:tc>
        <w:tc>
          <w:tcPr>
            <w:tcW w:type="dxa" w:w="1612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EAF3F4"/>
            <w:tcBorders>
              <w:top w:val="single" w:sz="8" w:color="4F7F86"/>
              <w:left w:val="single" w:sz="8" w:color="4F7F86"/>
              <w:bottom w:val="single" w:sz="8" w:color="4F7F86"/>
              <w:right w:val="single" w:sz="8" w:color="4F7F86"/>
              <w:insideH w:val="single" w:sz="8" w:color="4F7F86"/>
              <w:insideV w:val="single" w:sz="8" w:color="4F7F86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244A53"/>
                <w:sz w:val="19"/>
              </w:rPr>
              <w:t>選定課程</w:t>
            </w:r>
          </w:p>
        </w:tc>
        <w:tc>
          <w:tcPr>
            <w:tcW w:type="dxa" w:w="331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FFFFFF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C38A3B"/>
                <w:sz w:val="28"/>
              </w:rPr>
              <w:t>→</w:t>
            </w:r>
          </w:p>
        </w:tc>
        <w:tc>
          <w:tcPr>
            <w:tcW w:type="dxa" w:w="1612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EAF3F4"/>
            <w:tcBorders>
              <w:top w:val="single" w:sz="8" w:color="4F7F86"/>
              <w:left w:val="single" w:sz="8" w:color="4F7F86"/>
              <w:bottom w:val="single" w:sz="8" w:color="4F7F86"/>
              <w:right w:val="single" w:sz="8" w:color="4F7F86"/>
              <w:insideH w:val="single" w:sz="8" w:color="4F7F86"/>
              <w:insideV w:val="single" w:sz="8" w:color="4F7F86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244A53"/>
                <w:sz w:val="19"/>
              </w:rPr>
              <w:t>安排師資場地</w:t>
            </w:r>
          </w:p>
        </w:tc>
        <w:tc>
          <w:tcPr>
            <w:tcW w:type="dxa" w:w="331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FFFFFF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C38A3B"/>
                <w:sz w:val="28"/>
              </w:rPr>
              <w:t>→</w:t>
            </w:r>
          </w:p>
        </w:tc>
        <w:tc>
          <w:tcPr>
            <w:tcW w:type="dxa" w:w="1612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EAF3F4"/>
            <w:tcBorders>
              <w:top w:val="single" w:sz="8" w:color="4F7F86"/>
              <w:left w:val="single" w:sz="8" w:color="4F7F86"/>
              <w:bottom w:val="single" w:sz="8" w:color="4F7F86"/>
              <w:right w:val="single" w:sz="8" w:color="4F7F86"/>
              <w:insideH w:val="single" w:sz="8" w:color="4F7F86"/>
              <w:insideV w:val="single" w:sz="8" w:color="4F7F86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244A53"/>
                <w:sz w:val="19"/>
              </w:rPr>
              <w:t>辦理</w:t>
              <w:br/>
              <w:t>課程</w:t>
            </w:r>
          </w:p>
        </w:tc>
        <w:tc>
          <w:tcPr>
            <w:tcW w:type="dxa" w:w="331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FFFFFF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C38A3B"/>
                <w:sz w:val="28"/>
              </w:rPr>
              <w:t>→</w:t>
            </w:r>
          </w:p>
        </w:tc>
        <w:tc>
          <w:tcPr>
            <w:tcW w:type="dxa" w:w="1612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EAF3F4"/>
            <w:tcBorders>
              <w:top w:val="single" w:sz="8" w:color="4F7F86"/>
              <w:left w:val="single" w:sz="8" w:color="4F7F86"/>
              <w:bottom w:val="single" w:sz="8" w:color="4F7F86"/>
              <w:right w:val="single" w:sz="8" w:color="4F7F86"/>
              <w:insideH w:val="single" w:sz="8" w:color="4F7F86"/>
              <w:insideV w:val="single" w:sz="8" w:color="4F7F86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244A53"/>
                <w:sz w:val="19"/>
              </w:rPr>
              <w:t>蒐集學員回饋</w:t>
            </w:r>
          </w:p>
        </w:tc>
        <w:tc>
          <w:tcPr>
            <w:tcW w:type="dxa" w:w="331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FFFFFF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  <w:insideH w:val="nil" w:sz="0" w:color="FFFFFF"/>
              <w:insideV w:val="nil" w:sz="0" w:color="FFFFFF"/>
            </w:tcBorders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C38A3B"/>
                <w:sz w:val="28"/>
              </w:rPr>
              <w:t>→</w:t>
            </w:r>
          </w:p>
        </w:tc>
        <w:tc>
          <w:tcPr>
            <w:tcW w:type="dxa" w:w="1612"/>
            <w:vAlign w:val="center"/>
            <w:tcMar>
              <w:top w:w="120" w:type="dxa"/>
              <w:start w:w="60" w:type="dxa"/>
              <w:bottom w:w="120" w:type="dxa"/>
              <w:end w:w="60" w:type="dxa"/>
            </w:tcMar>
            <w:shd w:fill="EAF3F4"/>
            <w:tcBorders>
              <w:top w:val="single" w:sz="8" w:color="4F7F86"/>
              <w:left w:val="single" w:sz="8" w:color="4F7F86"/>
              <w:bottom w:val="single" w:sz="8" w:color="4F7F86"/>
              <w:right w:val="single" w:sz="8" w:color="4F7F86"/>
              <w:insideH w:val="single" w:sz="8" w:color="4F7F86"/>
              <w:insideV w:val="single" w:sz="8" w:color="4F7F86"/>
            </w:tcBorders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244A53"/>
                <w:sz w:val="19"/>
              </w:rPr>
              <w:t>調整後續課程</w:t>
            </w:r>
          </w:p>
        </w:tc>
      </w:tr>
    </w:tbl>
    <w:p>
      <w:pPr>
        <w:spacing w:after="40"/>
      </w:pPr>
    </w:p>
    <w:p>
      <w:pPr>
        <w:keepNext/>
        <w:spacing w:before="160" w:after="120" w:line="240" w:lineRule="auto"/>
      </w:pPr>
      <w:r>
        <w:rPr>
          <w:rFonts w:ascii="Noto Sans CJK TC" w:hAnsi="Noto Sans CJK TC" w:eastAsia="Noto Sans CJK TC"/>
          <w:b/>
          <w:color w:val="244A53"/>
          <w:sz w:val="34"/>
        </w:rPr>
        <w:t>開班紀錄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951"/>
            <w:shd w:fill="244A53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留存內容</w:t>
            </w:r>
          </w:p>
        </w:tc>
        <w:tc>
          <w:tcPr>
            <w:tcW w:type="dxa" w:w="7343"/>
            <w:shd w:fill="244A53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紀錄重點</w:t>
            </w:r>
          </w:p>
        </w:tc>
      </w:tr>
      <w:tr>
        <w:tc>
          <w:tcPr>
            <w:tcW w:type="dxa" w:w="2951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需求來源</w:t>
            </w:r>
          </w:p>
        </w:tc>
        <w:tc>
          <w:tcPr>
            <w:tcW w:type="dxa" w:w="7343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學員詢問、合作單位需求、社群回覆或公辦理課程程資料。</w:t>
            </w:r>
          </w:p>
        </w:tc>
      </w:tr>
      <w:tr>
        <w:tc>
          <w:tcPr>
            <w:tcW w:type="dxa" w:w="2951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課程安排</w:t>
            </w:r>
          </w:p>
        </w:tc>
        <w:tc>
          <w:tcPr>
            <w:tcW w:type="dxa" w:w="7343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課程內容、講師、場地、期間、費用與招生方式。</w:t>
            </w:r>
          </w:p>
        </w:tc>
      </w:tr>
      <w:tr>
        <w:tc>
          <w:tcPr>
            <w:tcW w:type="dxa" w:w="2951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執行情形</w:t>
            </w:r>
          </w:p>
        </w:tc>
        <w:tc>
          <w:tcPr>
            <w:tcW w:type="dxa" w:w="7343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報名、出席、結業與課程執行情形。</w:t>
            </w:r>
          </w:p>
        </w:tc>
      </w:tr>
      <w:tr>
        <w:tc>
          <w:tcPr>
            <w:tcW w:type="dxa" w:w="2951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學員回饋</w:t>
            </w:r>
          </w:p>
        </w:tc>
        <w:tc>
          <w:tcPr>
            <w:tcW w:type="dxa" w:w="7343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滿意內容、建議調整內容及後續學習需求。</w:t>
            </w:r>
          </w:p>
        </w:tc>
      </w:tr>
      <w:tr>
        <w:tc>
          <w:tcPr>
            <w:tcW w:type="dxa" w:w="2951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後續調整</w:t>
            </w:r>
          </w:p>
        </w:tc>
        <w:tc>
          <w:tcPr>
            <w:tcW w:type="dxa" w:w="7343"/>
            <w:shd w:fill="FFFFFF"/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tcMar>
              <w:top w:w="125" w:type="dxa"/>
              <w:start w:w="135" w:type="dxa"/>
              <w:bottom w:w="125" w:type="dxa"/>
              <w:end w:w="135" w:type="dxa"/>
            </w:tcMar>
            <w:vAlign w:val="center"/>
          </w:tcPr>
          <w:p>
            <w:pPr>
              <w:keepNext w:val="0"/>
              <w:spacing w:before="0" w:after="0" w:line="28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持續開辦，或調整內容、時段、講師、場地及課程主題。</w:t>
            </w:r>
          </w:p>
        </w:tc>
      </w:tr>
    </w:tbl>
    <w:p>
      <w:pPr>
        <w:spacing w:after="40"/>
      </w:pPr>
    </w:p>
    <w:p>
      <w:pPr>
        <w:keepNext/>
        <w:spacing w:before="160" w:after="120" w:line="240" w:lineRule="auto"/>
      </w:pPr>
      <w:r>
        <w:rPr>
          <w:rFonts w:ascii="Noto Sans CJK TC" w:hAnsi="Noto Sans CJK TC" w:eastAsia="Noto Sans CJK TC"/>
          <w:b/>
          <w:color w:val="244A53"/>
          <w:sz w:val="34"/>
        </w:rPr>
        <w:t>年度目標設定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96"/>
            <w:shd w:fill="F8F0E4"/>
            <w:tcBorders>
              <w:top w:val="single" w:sz="6" w:color="E0C99D"/>
              <w:left w:val="single" w:sz="6" w:color="E0C99D"/>
              <w:bottom w:val="single" w:sz="6" w:color="E0C99D"/>
              <w:right w:val="single" w:sz="6" w:color="E0C99D"/>
              <w:insideH w:val="single" w:sz="6" w:color="E0C99D"/>
              <w:insideV w:val="single" w:sz="6" w:color="E0C99D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keepNext w:val="0"/>
              <w:spacing w:before="0" w:after="0" w:line="288" w:lineRule="auto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1"/>
              </w:rPr>
              <w:t>每年依實際人力、師資、場地、市場需求與收支狀況設定年度目標，重點放在課程穩定辦理、學員參與、資料完整及收支平衡。班數、人數與收入由協會依當年度條件訂定，並於年度檢討時調整。</w:t>
            </w:r>
          </w:p>
        </w:tc>
      </w:tr>
    </w:tbl>
    <w:p>
      <w:pPr>
        <w:spacing w:after="40"/>
      </w:pPr>
    </w:p>
    <w:p>
      <w:pPr>
        <w:keepNext/>
        <w:spacing w:before="160" w:after="120" w:line="240" w:lineRule="auto"/>
      </w:pPr>
      <w:r>
        <w:rPr>
          <w:rFonts w:ascii="Noto Sans CJK TC" w:hAnsi="Noto Sans CJK TC" w:eastAsia="Noto Sans CJK TC"/>
          <w:b/>
          <w:color w:val="244A53"/>
          <w:sz w:val="34"/>
        </w:rPr>
        <w:t>規劃摘要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68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vAlign w:val="center"/>
            <w:shd w:fill="EDF4EE"/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TC" w:hAnsi="Noto Sans CJK TC" w:eastAsia="Noto Sans CJK TC"/>
                <w:b/>
                <w:color w:val="244A53"/>
                <w:sz w:val="23"/>
              </w:rPr>
              <w:t>未來方向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穩定健康教育與傳統整復推拿技術等核心課程，並依市場需求發展多元課程。</w:t>
            </w:r>
          </w:p>
        </w:tc>
        <w:tc>
          <w:tcPr>
            <w:tcW w:type="dxa" w:w="5068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vAlign w:val="center"/>
            <w:shd w:fill="EAF3F4"/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TC" w:hAnsi="Noto Sans CJK TC" w:eastAsia="Noto Sans CJK TC"/>
                <w:b/>
                <w:color w:val="244A53"/>
                <w:sz w:val="23"/>
              </w:rPr>
              <w:t>營運方式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小規模試辦、共用資源，並依實際執行情形調整。</w:t>
            </w:r>
          </w:p>
        </w:tc>
      </w:tr>
      <w:tr>
        <w:tc>
          <w:tcPr>
            <w:tcW w:type="dxa" w:w="5068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vAlign w:val="center"/>
            <w:shd w:fill="F8F0E4"/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TC" w:hAnsi="Noto Sans CJK TC" w:eastAsia="Noto Sans CJK TC"/>
                <w:b/>
                <w:color w:val="244A53"/>
                <w:sz w:val="23"/>
              </w:rPr>
              <w:t>服務對象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一般成人、在職工作者、社區居民、志工、在地商家、自營工作者與進修者。</w:t>
            </w:r>
          </w:p>
        </w:tc>
        <w:tc>
          <w:tcPr>
            <w:tcW w:type="dxa" w:w="5068"/>
            <w:tcMar>
              <w:top w:w="150" w:type="dxa"/>
              <w:start w:w="160" w:type="dxa"/>
              <w:bottom w:w="150" w:type="dxa"/>
              <w:end w:w="160" w:type="dxa"/>
            </w:tcMar>
            <w:tcBorders>
              <w:top w:val="single" w:sz="6" w:color="B9C7C9"/>
              <w:left w:val="single" w:sz="6" w:color="B9C7C9"/>
              <w:bottom w:val="single" w:sz="6" w:color="B9C7C9"/>
              <w:right w:val="single" w:sz="6" w:color="B9C7C9"/>
              <w:insideH w:val="single" w:sz="6" w:color="B9C7C9"/>
              <w:insideV w:val="single" w:sz="6" w:color="B9C7C9"/>
            </w:tcBorders>
            <w:vAlign w:val="center"/>
            <w:shd w:fill="F2F3F3"/>
          </w:tcPr>
          <w:p>
            <w:pPr>
              <w:keepNext w:val="0"/>
              <w:spacing w:before="0" w:after="60" w:line="264" w:lineRule="auto"/>
            </w:pPr>
            <w:r>
              <w:rPr>
                <w:rFonts w:ascii="Noto Sans CJK TC" w:hAnsi="Noto Sans CJK TC" w:eastAsia="Noto Sans CJK TC"/>
                <w:b/>
                <w:color w:val="244A53"/>
                <w:sz w:val="23"/>
              </w:rPr>
              <w:t>長期目標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Noto Sans CJK TC" w:hAnsi="Noto Sans CJK TC" w:eastAsia="Noto Sans CJK TC"/>
                <w:b w:val="0"/>
                <w:color w:val="263238"/>
                <w:sz w:val="20"/>
              </w:rPr>
              <w:t>以訓練收入逐步支持課程、行政與公益服務，提升協會持續運作能力。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社團法人屏東縣原始點關懷協會 中長程業務發展規劃與策略地圖</dc:title>
  <dc:subject>人才發展品質管理系統 訓練機構版 評核指標一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