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中長程的業務發展規劃策略地圖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TTQS訓練機構版｜指標1｜方框序號 001｜官方原頁 1｜策略規劃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官方方框原文：中長程的業務發展規劃策略地圖。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以健康教育及傳統整復推拿技術為核心，逐年檢視在地需求、協會任務、可用志工與財務資源；其他課程依市場需求、專業能力、師資、場地與法規逐門評估。此圖是提案稿，不填入未核定的班數、收入或成長率。</w:t>
      </w:r>
    </w:p>
    <w:p>
      <w:r>
        <w:rPr>
          <w:rFonts w:ascii="Microsoft JhengHei" w:hAnsi="Microsoft JhengHei"/>
          <w:b/>
          <w:color w:val="194A5B"/>
          <w:sz w:val="20"/>
        </w:rPr>
        <w:t>二、中長程發展策略地圖（規劃草案）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8C4C8"/>
          <w:left w:val="single" w:sz="4" w:space="0" w:color="B8C4C8"/>
          <w:bottom w:val="single" w:sz="4" w:space="0" w:color="B8C4C8"/>
          <w:right w:val="single" w:sz="4" w:space="0" w:color="B8C4C8"/>
          <w:insideH w:val="single" w:sz="4" w:space="0" w:color="B8C4C8"/>
          <w:insideV w:val="single" w:sz="4" w:space="0" w:color="B8C4C8"/>
        </w:tblBorders>
      </w:tblPr>
      <w:tblGrid>
        <w:gridCol w:w="3421"/>
        <w:gridCol w:w="3421"/>
        <w:gridCol w:w="3421"/>
      </w:tblGrid>
      <w:t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8EB"/>
          </w:tcPr>
          <w:p>
            <w:pPr>
              <w:spacing w:after="0" w:line="240" w:lineRule="auto"/>
            </w:pPr>
            <w:r>
              <w:rPr>
                <w:rFonts w:ascii="Microsoft JhengHei" w:hAnsi="Microsoft JhengHei"/>
                <w:b/>
                <w:color w:val="264550"/>
                <w:sz w:val="15"/>
              </w:rPr>
              <w:t>階段</w:t>
            </w:r>
          </w:p>
        </w:tc>
        <w:tc>
          <w:tcPr>
            <w:tcW w:type="dxa" w:w="43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8EB"/>
          </w:tcPr>
          <w:p>
            <w:pPr>
              <w:spacing w:after="0" w:line="240" w:lineRule="auto"/>
            </w:pPr>
            <w:r>
              <w:rPr>
                <w:rFonts w:ascii="Microsoft JhengHei" w:hAnsi="Microsoft JhengHei"/>
                <w:b/>
                <w:color w:val="264550"/>
                <w:sz w:val="15"/>
              </w:rPr>
              <w:t>策略作法（規劃建議）</w:t>
            </w:r>
          </w:p>
        </w:tc>
        <w:tc>
          <w:tcPr>
            <w:tcW w:type="dxa" w:w="44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DE8EB"/>
          </w:tcPr>
          <w:p>
            <w:pPr>
              <w:spacing w:after="0" w:line="240" w:lineRule="auto"/>
            </w:pPr>
            <w:r>
              <w:rPr>
                <w:rFonts w:ascii="Microsoft JhengHei" w:hAnsi="Microsoft JhengHei"/>
                <w:b/>
                <w:color w:val="264550"/>
                <w:sz w:val="15"/>
              </w:rPr>
              <w:t>決策關卡與應留紀錄</w:t>
            </w:r>
          </w:p>
        </w:tc>
      </w:tr>
      <w:t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/>
                <w:b w:val="0"/>
                <w:color w:val="2D3236"/>
                <w:sz w:val="15"/>
              </w:rPr>
              <w:t>近期｜盤點建置</w:t>
            </w:r>
          </w:p>
        </w:tc>
        <w:tc>
          <w:tcPr>
            <w:tcW w:type="dxa" w:w="43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/>
                <w:b w:val="0"/>
                <w:color w:val="2D3236"/>
                <w:sz w:val="15"/>
              </w:rPr>
              <w:t>盤點協會任務、在地需求、可用志工／師資、場地、經費與適用規範；建立課程提案、核定、簽到、回饋及檢討表單。</w:t>
            </w:r>
          </w:p>
        </w:tc>
        <w:tc>
          <w:tcPr>
            <w:tcW w:type="dxa" w:w="44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/>
                <w:b w:val="0"/>
                <w:color w:val="2D3236"/>
                <w:sz w:val="15"/>
              </w:rPr>
              <w:t>提案應附需求與資源盤點；依章程交有權者審議，留存會議紀錄、核定版本及工作分工。</w:t>
            </w:r>
          </w:p>
        </w:tc>
      </w:tr>
      <w:t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/>
                <w:b w:val="0"/>
                <w:color w:val="2D3236"/>
                <w:sz w:val="15"/>
              </w:rPr>
              <w:t>中期｜核定後試辦</w:t>
            </w:r>
          </w:p>
        </w:tc>
        <w:tc>
          <w:tcPr>
            <w:tcW w:type="dxa" w:w="43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/>
                <w:b w:val="0"/>
                <w:color w:val="2D3236"/>
                <w:sz w:val="15"/>
              </w:rPr>
              <w:t>核心課程依核定內容及可負擔資源試辦；其他課程僅於有需求、師資、場地與規範條件時提案。</w:t>
            </w:r>
          </w:p>
        </w:tc>
        <w:tc>
          <w:tcPr>
            <w:tcW w:type="dxa" w:w="44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/>
                <w:b w:val="0"/>
                <w:color w:val="2D3236"/>
                <w:sz w:val="15"/>
              </w:rPr>
              <w:t>逐班留存課綱、師資、簽到、時數、費用、回饋、學習檢核及異常處理；未核定不辦理。</w:t>
            </w:r>
          </w:p>
        </w:tc>
      </w:tr>
      <w:t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/>
                <w:b w:val="0"/>
                <w:color w:val="2D3236"/>
                <w:sz w:val="15"/>
              </w:rPr>
              <w:t>長期｜檢核調整</w:t>
            </w:r>
          </w:p>
        </w:tc>
        <w:tc>
          <w:tcPr>
            <w:tcW w:type="dxa" w:w="43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/>
                <w:b w:val="0"/>
                <w:color w:val="2D3236"/>
                <w:sz w:val="15"/>
              </w:rPr>
              <w:t>定期彙整實際紀錄，評估延續、修正或停止；擴充依任務、需求與資源逐案審議，不預設成長目標。</w:t>
            </w:r>
          </w:p>
        </w:tc>
        <w:tc>
          <w:tcPr>
            <w:tcW w:type="dxa" w:w="44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/>
                <w:b w:val="0"/>
                <w:color w:val="2D3236"/>
                <w:sz w:val="15"/>
              </w:rPr>
              <w:t>留存期間比較、檢討紀錄、改善決議及版次；實際成果須以原始憑證支持。</w:t>
            </w:r>
          </w:p>
        </w:tc>
      </w:tr>
    </w:tbl>
    <w:p>
      <w:r>
        <w:rPr>
          <w:rFonts w:ascii="Microsoft JhengHei" w:hAnsi="Microsoft JhengHei"/>
          <w:color w:val="5F696E"/>
          <w:sz w:val="15"/>
        </w:rPr>
        <w:t>階段時程、年度目標與實施計畫待協會核定後另訂；本表為範本，不代表已核定或執行。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1｜彙整本期協會任務、需求來源與可用資源。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2｜提出策略與工作安排，說明假設、風險及檢視方式。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3｜送有權者審議；核定後標示版本、生效日及負責窗口。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4｜按期檢視執行情形，保存資料並依結果修訂。</w:t>
      </w:r>
    </w:p>
    <w:p>
      <w:pPr>
        <w:spacing w:before="40" w:after="20" w:line="245" w:lineRule="auto"/>
      </w:pPr>
      <w:r>
        <w:t>四、必要欄位與待補資料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規劃期間與核定紀錄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使命／市場需求／課程組合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年度工作與志工能力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資源與財務假設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檢視指標、結果與修訂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t>五、資料來源、核定及使用限制</w:t>
      </w:r>
    </w:p>
    <w:p>
      <w:pPr>
        <w:spacing w:after="20" w:line="240" w:lineRule="auto"/>
      </w:pPr>
      <w:r>
        <w:rPr>
          <w:rFonts w:ascii="Microsoft JhengHei" w:hAnsi="Microsoft JhengHei" w:eastAsia="Microsoft JhengHei"/>
          <w:b w:val="0"/>
          <w:sz w:val="16"/>
        </w:rPr>
        <w:t>法規查閱：衛福部中醫藥司現行規範與課程申辦頁面。課程是否符合資格、是否核准須以正式文件確認；本稿不代表本會已取得核准。</w:t>
      </w:r>
      <w:hyperlink r:id="rId9">
        <w:r>
          <w:rPr>
            <w:color w:val="0563C1"/>
            <w:u w:val="single"/>
          </w:rPr>
          <w:t>現行規範</w:t>
        </w:r>
      </w:hyperlink>
      <w:r>
        <w:rPr>
          <w:rFonts w:ascii="Microsoft JhengHei" w:hAnsi="Microsoft JhengHei" w:eastAsia="Microsoft JhengHei"/>
          <w:b w:val="0"/>
          <w:sz w:val="16"/>
        </w:rPr>
        <w:t>｜</w:t>
      </w:r>
      <w:hyperlink r:id="rId10">
        <w:r>
          <w:rPr>
            <w:color w:val="0563C1"/>
            <w:u w:val="single"/>
          </w:rPr>
          <w:t>課程申辦</w:t>
        </w:r>
      </w:hyperlink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11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p.mohw.gov.tw/DOCMAP/fp-4388-39600-108.html" TargetMode="External"/><Relationship Id="rId10" Type="http://schemas.openxmlformats.org/officeDocument/2006/relationships/hyperlink" Target="https://dep.mohw.gov.tw/DOCMAP/fp-4386-83713-108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