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不同訓練課程的設計與規劃方向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TTQS訓練機構版｜指標4｜方框序號 020｜官方原頁 2｜計畫與工作規劃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官方方框原文：不同訓練課程的設計與規劃方向。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以本會已提供方向為起點，結合實際需求、協會任務、人力與經費，寫明工作、時間、資源、負責窗口與檢視方式。數值目標須有基線並經有權者確認；不得將建議值或外部資料寫成本會已達成。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期間、需求依據與適用對象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目標、工作及預期產出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所需人力、經費、教材與場地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負責窗口、時程及核定程序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檢視方法、結果與修訂紀錄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