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訓練課程體系及訓練機構業務策略方向的相關資料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TTQS訓練機構版｜指標5｜方框序號 026｜官方原頁 2｜計畫與工作規劃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官方方框原文：訓練課程體系及訓練機構業務策略方向的相關資料。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以本會已提供方向為起點，結合實際需求、協會任務、人力與經費，寫明工作、時間、資源、負責窗口與檢視方式。數值目標須有基線並經有權者確認；不得將建議值或外部資料寫成本會已達成。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期間、需求依據與適用對象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目標、工作及預期產出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所需人力、經費、教材與場地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負責窗口、時程及核定程序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檢視方法、結果與修訂紀錄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