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各課程單元內容均能達成訓練規劃的目標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TTQS訓練機構版｜指標11｜方框序號 052｜官方原頁 4｜計畫與工作規劃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官方方框原文：各課程單元內容均能達成訓練規劃的目標。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以本會已提供方向為起點，結合實際需求、協會任務、人力與經費，寫明工作、時間、資源、負責窗口與檢視方式。數值目標須有基線並經有權者確認；不得將建議值或外部資料寫成本會已達成。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1｜確認項目適用範圍、課程／期間及資料責任窗口。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2｜依本文件欄位建立紀錄，連結原始資料與核定版本。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3｜執行後核對完整性、差異及必要的個資／安全措施。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4｜以實際資料完成分析或檢討，留存後續決定。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期間、需求依據與適用對象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目標、工作及預期產出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所需人力、經費、教材與場地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負責窗口、時程及核定程序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檢視方法、結果與修訂紀錄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