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訓練的結案報告，包括資源的運用、財務的支配、訓練成果的展現、檢討及改進的方法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TTQS訓練機構版｜指標15｜方框序號 072｜官方原頁 5｜財務與營運資料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官方方框原文：訓練的結案報告，包括資源的運用、財務的支配、訓練成果的展現、檢討及改進的方法。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依協會正式帳務及核定預算區分預算、實際收入、可用收入、成本與結餘；保留憑證、年度口徑與覆核，不設定未核定的公益提撥比例。近三年趨勢按同一會計口徑比較，未取得資料不推估為實績。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年度／期間與會計口徑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收入、成本、可用收入與結餘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原始憑證、帳冊及核定預算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對帳／覆核人與日期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差異、趨勢限制及後續決策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