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提出目標客戶及學員對訓練達組織績效改善之說明（財務面）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TTQS訓練機構版｜指標18（3分）｜方框序號 115｜官方原頁 7｜財務與營運資料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官方方框原文：提出目標客戶及學員對訓練達組織績效改善之說明（財務面）。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依協會正式帳務及核定預算區分預算、實際收入、可用收入、成本與結餘；保留憑證、年度口徑與覆核，不設定未核定的公益提撥比例。近三年趨勢按同一會計口徑比較，未取得資料不推估為實績。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年度／期間與會計口徑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收入、成本、可用收入與結餘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原始憑證、帳冊及核定預算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對帳／覆核人與日期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差異、趨勢限制及後續決策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