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提出市場競爭力、營業額、工作流程、成本控制或客訴率等營運表現（財務面）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TTQS訓練機構版｜指標19（3分）｜方框序號 142｜官方原頁 8｜財務與營運資料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官方方框原文：提出市場競爭力、營業額、工作流程、成本控制或客訴率等營運表現（財務面）。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依協會正式帳務及核定預算區分預算、實際收入、可用收入、成本與結餘；保留憑證、年度口徑與覆核，不設定未核定的公益提撥比例。近三年趨勢按同一會計口徑比較，未取得資料不推估為實績。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年度／期間與會計口徑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收入、成本、可用收入與結餘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原始憑證、帳冊及核定預算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對帳／覆核人與日期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差異、趨勢限制及後續決策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