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會員人數及會費收入均逐年增加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TTQS訓練機構版｜指標19（3分）｜方框序號 147｜官方原頁 8｜財務與營運資料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官方方框原文：會員人數及會費收入均逐年增加。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依協會正式帳務及核定預算區分預算、實際收入、可用收入、成本與結餘；保留憑證、年度口徑與覆核，不設定未核定的公益提撥比例。近三年趨勢按同一會計口徑比較，未取得資料不推估為實績。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年度／期間與會計口徑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收入、成本、可用收入與結餘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原始憑證、帳冊及核定預算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對帳／覆核人與日期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差異、趨勢限制及後續決策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