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JhengHei" w:hAnsi="Microsoft JhengHei" w:eastAsia="Microsoft JhengHei"/>
          <w:b/>
          <w:color w:val="41525B"/>
          <w:sz w:val="18"/>
        </w:rPr>
        <w:t>社團法人屏東縣原始點關懷協會</w:t>
      </w:r>
    </w:p>
    <w:p>
      <w:pPr>
        <w:spacing w:before="20" w:after="80" w:line="240" w:lineRule="auto"/>
        <w:jc w:val="center"/>
      </w:pPr>
      <w:r>
        <w:rPr>
          <w:rFonts w:ascii="Microsoft JhengHei" w:hAnsi="Microsoft JhengHei" w:eastAsia="Microsoft JhengHei"/>
          <w:b/>
          <w:color w:val="194A5B"/>
          <w:sz w:val="28"/>
        </w:rPr>
        <w:t>經營績效中之數據呈現目標市場及顧客價值均有顯著具體的提升績效</w:t>
      </w:r>
    </w:p>
    <w:p>
      <w:pPr>
        <w:spacing w:after="80"/>
        <w:jc w:val="center"/>
      </w:pPr>
      <w:r>
        <w:rPr>
          <w:rFonts w:ascii="Microsoft JhengHei" w:hAnsi="Microsoft JhengHei" w:eastAsia="Microsoft JhengHei"/>
          <w:b w:val="0"/>
          <w:color w:val="5F696E"/>
          <w:sz w:val="16"/>
        </w:rPr>
        <w:t>TTQS訓練機構版｜指標19（4分）｜方框序號 149｜官方原頁 8｜成果與指標佐證</w:t>
      </w:r>
    </w:p>
    <w:tbl>
      <w:tblPr>
        <w:tblW w:type="auto" w:w="0"/>
        <w:jc w:val="center"/>
        <w:tblLayout w:type="fixed"/>
        <w:tblLook w:firstColumn="1" w:firstRow="1" w:lastColumn="0" w:lastRow="0" w:noHBand="0" w:noVBand="1" w:val="04A0"/>
      </w:tblPr>
      <w:tblGrid>
        <w:gridCol w:w="1191"/>
        <w:gridCol w:w="3402"/>
        <w:gridCol w:w="1191"/>
        <w:gridCol w:w="3402"/>
      </w:tblGrid>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編製狀態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本次文件已編製；規劃或表單草案</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核定狀態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待有權者審議；未生效</w:t>
            </w:r>
          </w:p>
        </w:tc>
      </w:tr>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執行資料</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實際原始紀錄待取得</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閱覽範圍</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內部；個資及第三方資料限權使用</w:t>
            </w:r>
          </w:p>
        </w:tc>
      </w:tr>
    </w:tbl>
    <w:p>
      <w:pPr>
        <w:spacing w:before="100" w:after="20" w:line="245" w:lineRule="auto"/>
      </w:pPr>
      <w:r>
        <w:rPr>
          <w:rFonts w:ascii="Microsoft JhengHei" w:hAnsi="Microsoft JhengHei" w:eastAsia="Microsoft JhengHei"/>
          <w:b/>
          <w:color w:val="194A5B"/>
          <w:sz w:val="20"/>
        </w:rPr>
        <w:t>一、項目要求與本會適用方式</w:t>
      </w:r>
    </w:p>
    <w:p>
      <w:pPr>
        <w:spacing w:before="0" w:after="20" w:line="245" w:lineRule="auto"/>
      </w:pPr>
      <w:r>
        <w:rPr>
          <w:rFonts w:ascii="Microsoft JhengHei" w:hAnsi="Microsoft JhengHei" w:eastAsia="Microsoft JhengHei"/>
          <w:b w:val="0"/>
          <w:color w:val="2D3236"/>
          <w:sz w:val="17"/>
        </w:rPr>
        <w:t>官方方框原文：經營績效中之數據呈現目標市場及顧客價值均有顯著具體的提升績效。</w:t>
      </w:r>
    </w:p>
    <w:p>
      <w:pPr>
        <w:spacing w:before="0" w:after="40" w:line="245" w:lineRule="auto"/>
      </w:pPr>
      <w:r>
        <w:rPr>
          <w:rFonts w:ascii="Microsoft JhengHei" w:hAnsi="Microsoft JhengHei" w:eastAsia="Microsoft JhengHei"/>
          <w:b w:val="0"/>
          <w:sz w:val="17"/>
        </w:rPr>
        <w:t>先定義指標、基線、母體、觀察期間及計算式，再以原始資料計算；同時呈現分子、分母、樣本、未回覆與限制。外部案例、新聞或標竿數字只作背景，不能替代本會實際成果。</w:t>
      </w:r>
    </w:p>
    <w:p>
      <w:pPr>
        <w:spacing w:before="40" w:after="20" w:line="245" w:lineRule="auto"/>
      </w:pPr>
      <w:r>
        <w:rPr>
          <w:rFonts w:ascii="Microsoft JhengHei" w:hAnsi="Microsoft JhengHei" w:eastAsia="Microsoft JhengHei"/>
          <w:b/>
          <w:color w:val="194A5B"/>
          <w:sz w:val="20"/>
        </w:rPr>
        <w:t>二、作業步驟</w:t>
      </w:r>
    </w:p>
    <w:p>
      <w:pPr>
        <w:spacing w:before="0" w:after="16" w:line="245" w:lineRule="auto"/>
      </w:pPr>
      <w:r>
        <w:rPr>
          <w:rFonts w:ascii="Microsoft JhengHei" w:hAnsi="Microsoft JhengHei" w:eastAsia="Microsoft JhengHei"/>
          <w:b w:val="0"/>
          <w:sz w:val="17"/>
        </w:rPr>
        <w:t>1｜先確認指標定義、期間、母體、基線及計算口徑。</w:t>
      </w:r>
    </w:p>
    <w:p>
      <w:pPr>
        <w:spacing w:before="0" w:after="16" w:line="245" w:lineRule="auto"/>
      </w:pPr>
      <w:r>
        <w:rPr>
          <w:rFonts w:ascii="Microsoft JhengHei" w:hAnsi="Microsoft JhengHei" w:eastAsia="Microsoft JhengHei"/>
          <w:b w:val="0"/>
          <w:sz w:val="17"/>
        </w:rPr>
        <w:t>2｜向原始資料保管者取得紀錄／證明並核對真實性。</w:t>
      </w:r>
    </w:p>
    <w:p>
      <w:pPr>
        <w:spacing w:before="0" w:after="16" w:line="245" w:lineRule="auto"/>
      </w:pPr>
      <w:r>
        <w:rPr>
          <w:rFonts w:ascii="Microsoft JhengHei" w:hAnsi="Microsoft JhengHei" w:eastAsia="Microsoft JhengHei"/>
          <w:b w:val="0"/>
          <w:sz w:val="17"/>
        </w:rPr>
        <w:t>3｜保留分子、分母、未回覆、排除理由與限制。</w:t>
      </w:r>
    </w:p>
    <w:p>
      <w:pPr>
        <w:spacing w:before="0" w:after="16" w:line="245" w:lineRule="auto"/>
      </w:pPr>
      <w:r>
        <w:rPr>
          <w:rFonts w:ascii="Microsoft JhengHei" w:hAnsi="Microsoft JhengHei" w:eastAsia="Microsoft JhengHei"/>
          <w:b w:val="0"/>
          <w:sz w:val="17"/>
        </w:rPr>
        <w:t>4｜分析差距及後續處理；由適當人員覆核並留存版本。</w:t>
      </w:r>
    </w:p>
    <w:p>
      <w:pPr>
        <w:spacing w:before="40" w:after="20" w:line="245" w:lineRule="auto"/>
      </w:pPr>
      <w:r>
        <w:rPr>
          <w:rFonts w:ascii="Microsoft JhengHei" w:hAnsi="Microsoft JhengHei" w:eastAsia="Microsoft JhengHei"/>
          <w:b/>
          <w:color w:val="194A5B"/>
          <w:sz w:val="20"/>
        </w:rPr>
        <w:t>三、必要欄位與待補資料</w:t>
      </w:r>
    </w:p>
    <w:tbl>
      <w:tblPr>
        <w:tblW w:type="auto" w:w="0"/>
        <w:jc w:val="center"/>
        <w:tblLayout w:type="fixed"/>
        <w:tblLook w:firstColumn="1" w:firstRow="1" w:lastColumn="0" w:lastRow="0" w:noHBand="0" w:noVBand="1" w:val="04A0"/>
      </w:tblPr>
      <w:tblGrid>
        <w:gridCol w:w="3421"/>
        <w:gridCol w:w="3421"/>
        <w:gridCol w:w="3421"/>
      </w:tblGrid>
      <w:tr>
        <w:tc>
          <w:tcPr>
            <w:tcW w:type="dxa" w:w="1701"/>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欄位</w:t>
            </w:r>
          </w:p>
        </w:tc>
        <w:tc>
          <w:tcPr>
            <w:tcW w:type="dxa" w:w="4649"/>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記錄／核驗要點</w:t>
            </w:r>
          </w:p>
        </w:tc>
        <w:tc>
          <w:tcPr>
            <w:tcW w:type="dxa" w:w="2835"/>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本次狀態</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指標、目標來源與計算口徑</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期間、母體、分子／分母與樣本</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原始資料位置及核驗者</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實際值、比較基線及限制</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結果分析、改善決定與後續驗證</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bl>
    <w:p>
      <w:pPr>
        <w:spacing w:before="60" w:after="20" w:line="245" w:lineRule="auto"/>
      </w:pPr>
      <w:r>
        <w:rPr>
          <w:rFonts w:ascii="Microsoft JhengHei" w:hAnsi="Microsoft JhengHei" w:eastAsia="Microsoft JhengHei"/>
          <w:b/>
          <w:color w:val="194A5B"/>
          <w:sz w:val="20"/>
        </w:rPr>
        <w:t>四、資料來源、核定及使用限制</w:t>
      </w:r>
    </w:p>
    <w:p>
      <w:pPr>
        <w:spacing w:before="0" w:after="20" w:line="245" w:lineRule="auto"/>
      </w:pPr>
      <w:r>
        <w:rPr>
          <w:rFonts w:ascii="Microsoft JhengHei" w:hAnsi="Microsoft JhengHei" w:eastAsia="Microsoft JhengHei"/>
          <w:b w:val="0"/>
          <w:sz w:val="16"/>
        </w:rPr>
        <w:t>來源：官方查核佐證資料表原頁及本次任務包。舊版策略文稿、歷史指標文件、P14程序與 TEST 檔只供沿革／格式參考，均未視為本會已核定或已執行證據。</w:t>
      </w:r>
    </w:p>
    <w:p>
      <w:pPr>
        <w:spacing w:before="0" w:after="20" w:line="245" w:lineRule="auto"/>
      </w:pPr>
      <w:r>
        <w:rPr>
          <w:rFonts w:ascii="Microsoft JhengHei" w:hAnsi="Microsoft JhengHei" w:eastAsia="Microsoft JhengHei"/>
          <w:b/>
          <w:color w:val="824B2D"/>
          <w:sz w:val="16"/>
        </w:rPr>
        <w:t>本文件不包含虛構實績或第三方證明。原始資料未取得前，不得用本稿、外部標竿或口頭陳述代替實際數據；對外使用須另確認去識別及授權。</w:t>
      </w:r>
    </w:p>
    <w:sectPr w:rsidR="00FC693F" w:rsidRPr="0006063C" w:rsidSect="00034616">
      <w:footerReference w:type="default" r:id="rId9"/>
      <w:pgSz w:w="11906" w:h="16838"/>
      <w:pgMar w:top="652" w:right="822" w:bottom="624"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E6E6E"/>
        <w:sz w:val="14"/>
      </w:rPr>
      <w:t>社團法人屏東縣原始點關懷協會｜本次製作稿｜2026-09-23｜非核定文件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