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提出參與社會公益活動、獲頒公民營單位獎項、結合學校單位產學或研發成果社會面。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TTQS訓練機構版｜指標19（4分）｜方框序號 150｜官方原頁 8｜成果與指標佐證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官方方框原文：提出參與社會公益活動、獲頒公民營單位獎項、結合學校單位產學或研發成果社會面。。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after="20" w:line="240" w:lineRule="auto"/>
      </w:pPr>
      <w:r>
        <w:rPr>
          <w:rFonts w:ascii="Microsoft JhengHei" w:hAnsi="Microsoft JhengHei" w:eastAsia="Microsoft JhengHei"/>
          <w:b w:val="0"/>
          <w:sz w:val="16"/>
        </w:rPr>
        <w:t>第三方來源：原視新聞網，2023-05-10 報導。報導提及本會等單位參與屏東公益活動；本次僅核對公開報導，協會原始合作／出席紀錄、附件原檔與使用授權仍待取得。</w:t>
      </w:r>
      <w:hyperlink r:id="rId9">
        <w:r>
          <w:rPr>
            <w:color w:val="0563C1"/>
            <w:u w:val="single"/>
          </w:rPr>
          <w:t>開啟報導</w:t>
        </w:r>
      </w:hyperlink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10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ipcf.org.tw/77916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