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組織近三年營業額持續成長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TTQS訓練機構版｜指標19（4分）｜方框序號 156｜官方原頁 9｜財務與營運資料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官方方框原文：組織近三年營業額持續成長。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依協會正式帳務及核定預算區分預算、實際收入、可用收入、成本與結餘；保留憑證、年度口徑與覆核，不設定未核定的公益提撥比例。近三年趨勢按同一會計口徑比較，未取得資料不推估為實績。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年度／期間與會計口徑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收入、成本、可用收入與結餘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原始憑證、帳冊及核定預算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對帳／覆核人與日期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差異、趨勢限制及後續決策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