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  <w:pageBreakBefore/>
      </w:pPr>
      <w:r>
        <w:t>政策條款、責任、揭露與檢視頻率表</w:t>
      </w:r>
    </w:p>
    <w:p>
      <w:pPr>
        <w:keepNext/>
      </w:pPr>
      <w:r>
        <w:t>本表為制度執行檢核工具。角色、正式公開管道及來源未核定前，維持待補，不對外承諾。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控制事項</w:t>
            </w:r>
          </w:p>
        </w:tc>
        <w:tc>
          <w:tcPr>
            <w:tcW w:type="dxa" w:w="172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責任角色</w:t>
            </w:r>
          </w:p>
        </w:tc>
        <w:tc>
          <w:tcPr>
            <w:tcW w:type="dxa" w:w="2664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公開揭露／控制</w:t>
            </w:r>
          </w:p>
        </w:tc>
        <w:tc>
          <w:tcPr>
            <w:tcW w:type="dxa" w:w="2232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應留證據</w:t>
            </w:r>
          </w:p>
        </w:tc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檢視頻率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資格與來源核對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承辦／覆核角色待協會指定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先核實正式計畫、適用期間、資格及限制；來源不明即停止對外宣稱。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來源文件、版本、頁次、核對日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每案申請前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優惠條件與方案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方案提案／權責核定角色待指定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核對適用課程、對象、名額、金額或折扣、期限及申請方式。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核定方案、預算與名額依據、版本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每次方案及變更時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公平審查與例外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承辦初審、覆核及權責核定角色待指定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依同一標準審查；例外須有權責核准及理由，不得超出權限。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申請／審查表、理由、利益迴避及決議紀錄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逐案審查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公告、履約與結案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公告承辦／財務覆核角色待指定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只發布核定版；清楚揭露條件、費用、期限、退費及聯絡方式；異動即更新。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公告版本、網址或截圖、發布日、收支／退費結案核對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發布前、變更時及結案時</w:t>
            </w:r>
          </w:p>
        </w:tc>
      </w:tr>
    </w:tbl>
    <w:p>
      <w:pPr>
        <w:pStyle w:val="Heading2"/>
        <w:keepNext/>
        <w:pageBreakBefore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