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spacing w:before="0" w:after="100"/>
      </w:pPr>
      <w:r>
        <w:rPr>
          <w:rFonts w:ascii="Microsoft JhengHei" w:hAnsi="Microsoft JhengHei" w:eastAsia="Microsoft JhengHei"/>
          <w:b/>
          <w:color w:val="183B63"/>
          <w:sz w:val="36"/>
        </w:rPr>
        <w:t>補助參與機構公開招生課程或進階課程優惠辦法之_制度文件</w:t>
      </w:r>
    </w:p>
    <w:p>
      <w:r>
        <w:rPr>
          <w:rFonts w:ascii="Microsoft JhengHei" w:hAnsi="Microsoft JhengHei" w:eastAsia="Microsoft JhengHei"/>
          <w:b/>
          <w:color w:val="9C4A00"/>
          <w:sz w:val="18"/>
        </w:rPr>
        <w:t>文件狀態：工作稿／待核定；本文件不代表實際招生、執行或成果。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建立補助參與課程或進階課程優惠的可核定規則及申請、審查、公開流程。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先確認補助計畫與經費資格，再核定適用對象、名額、優惠額度、期間和申訴方式。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先看不可逾越的發布條件，再看申請、審查及公開欄位。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尚無本會補助資格、預算、名額、實際優惠或核定辦法資料；以下均為待核定制度範本。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查核重點與資料界線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本文件對應的查核重點：補助參與機構公開招生課程或進階課程優惠辦法之規定。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工作稿提醒：本稿不是核定紀錄，也不代表已辦理課程、調查或評量。只填入可查證的原始資料；沒有資料時保留空白並註明待補。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本會已提供的設定僅為協會名稱與核心方向：社團法人屏東縣原始點關懷協會，以健康教育及傳統整復推拿技術為核心，保留依實際市場需求發展多元課程的空間。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本文件需補的真實欄位：補助計畫原文、核定預算、資格條件、價格、名額、理監事會決議及公開版本。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一、發布前置條件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未取得主管機關或補助計畫正式文件前，不得宣稱本會已取得補助資格或補助名額。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未完成經費來源、預算、名額及權責核定前，不得公布優惠金額、折扣或承諾受理。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公開文字須清楚區分政府補助、協會自辦減免及進階課程優惠，不得混為一談。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正式發布前由權責人員核對適用年度、條件、費用、退費及個資處理規定。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二、適用類型與申請流程（範本）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類型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適用依據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應填欄位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決定與證據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補助參與課程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以正式補助計畫及核定條件為準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計畫名稱、核定期間、資格、名額、經費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核定文件、審查表及通知紀錄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進階課程優惠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以協會核定之課程價格及優惠辦法為準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適用課程、對象、條件、額度、期限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權責決議、公告版本及收支核對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公益支持／減免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依已核定公益資源及公平原則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申請方式、必要證明、審查人員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去識別化決定紀錄及經費憑證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三、作業步驟與控管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步驟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責任角色（待指定）</w:t>
            </w:r>
          </w:p>
        </w:tc>
        <w:tc>
          <w:tcPr>
            <w:tcW w:type="dxa" w:w="35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必要檢核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紀錄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1.確認依據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承辦／覆核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計畫效期、資格、限制及經費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依據核對表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2.提出方案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承辦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對象、名額、額度、期限、預算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優惠方案草案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3.權責審議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依協會權責矩陣指定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利益衝突、資源及公平性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決議與版本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4.公開受理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承辦／覆核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公告與實際條件一致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公告截圖／發布日期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5.審查及通知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指定審查人員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依同一標準、留存理由及申訴管道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去識別化名冊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6.結案核對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財務／覆核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實際支出、退費及餘額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憑證、結案及改善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四、公開資訊填寫表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欄位</w:t>
            </w:r>
          </w:p>
        </w:tc>
        <w:tc>
          <w:tcPr>
            <w:tcW w:type="dxa" w:w="410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正式公開值（待核定）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核對人／依據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課程與適用年度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適用資格／證明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名額與優惠方式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申請期間與方式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費用、退費與申訴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核定依據及聯絡方式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證據定位與版本核對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核對項目</w:t>
            </w:r>
          </w:p>
        </w:tc>
        <w:tc>
          <w:tcPr>
            <w:tcW w:type="dxa" w:w="37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預定來源／檔名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頁次／欄位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補助計畫及資格文件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優惠辦法核定紀錄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公告與受理／結案資料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目前來源判定：本案未附可證明協會實際核定或執行的原始資料。完成填列前，維持工作稿狀態；不得將此表或示例直接當作既有成果。</w:t>
      </w:r>
    </w:p>
    <w:p>
      <w:pPr>
        <w:pStyle w:val="Heading1"/>
        <w:keepNext/>
      </w:pPr>
      <w:r>
        <w:t>補助與優惠制度的申請、審議及結案規則</w:t>
      </w:r>
    </w:p>
    <w:p>
      <w:pPr>
        <w:spacing w:after="80"/>
      </w:pPr>
      <w:r>
        <w:t>目前沒有資料證明協會已取得補助資格、可用經費、優惠名額或已核定辦法。本節提供完整待核定控制程序；未完成前置核對及權責核定前，不對外宣稱有補助或優惠，也不受理承諾。</w:t>
      </w:r>
    </w:p>
    <w:p>
      <w:pPr>
        <w:pStyle w:val="Heading2"/>
        <w:keepNext/>
      </w:pPr>
      <w:r>
        <w:t>適用依據與決策欄位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664"/>
        <w:gridCol w:w="2736"/>
        <w:gridCol w:w="2520"/>
      </w:tblGrid>
      <w:tr>
        <w:trPr>
          <w:tblHeader w:val="true"/>
        </w:trPr>
        <w:tc>
          <w:tcPr>
            <w:tcW w:type="dxa" w:w="187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方案類型</w:t>
            </w:r>
          </w:p>
        </w:tc>
        <w:tc>
          <w:tcPr>
            <w:tcW w:type="dxa" w:w="266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必須先確認的來源</w:t>
            </w:r>
          </w:p>
        </w:tc>
        <w:tc>
          <w:tcPr>
            <w:tcW w:type="dxa" w:w="2736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適用資格／條件</w:t>
            </w:r>
          </w:p>
        </w:tc>
        <w:tc>
          <w:tcPr>
            <w:tcW w:type="dxa" w:w="252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金額、名額與權責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補助參與機構課程</w:t>
            </w:r>
          </w:p>
        </w:tc>
        <w:tc>
          <w:tcPr>
            <w:tcW w:type="dxa" w:w="266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有效的正式補助計畫、核定文件與期間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逐字核對對象、課程、文件及限制；不自行推定資格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額度、名額、預算及核定角色：[待補]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進階課程優惠</w:t>
            </w:r>
          </w:p>
        </w:tc>
        <w:tc>
          <w:tcPr>
            <w:tcW w:type="dxa" w:w="266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經權責核定的課程、價格、優惠規則及有效期間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清楚定義對象、申請方式、適用課程及互斥規則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折扣／優惠額度與預算上限：[待核定]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公益支持或減免</w:t>
            </w:r>
          </w:p>
        </w:tc>
        <w:tc>
          <w:tcPr>
            <w:tcW w:type="dxa" w:w="266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正式公益資源依據、可用預算及公平條件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採一致條件並僅收必要證明；避免蒐集多餘敏感資料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申請數、名額、核定額及決定權責：[待核定]</w:t>
            </w:r>
          </w:p>
        </w:tc>
      </w:tr>
    </w:tbl>
    <w:p>
      <w:pPr>
        <w:pStyle w:val="Heading2"/>
        <w:keepNext/>
      </w:pPr>
      <w:r>
        <w:t>案件處理與核定流程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2880"/>
        <w:gridCol w:w="2088"/>
        <w:gridCol w:w="3168"/>
      </w:tblGrid>
      <w:tr>
        <w:trPr>
          <w:tblHeader w:val="true"/>
        </w:trPr>
        <w:tc>
          <w:tcPr>
            <w:tcW w:type="dxa" w:w="144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關卡</w:t>
            </w:r>
          </w:p>
        </w:tc>
        <w:tc>
          <w:tcPr>
            <w:tcW w:type="dxa" w:w="288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必要檢核</w:t>
            </w:r>
          </w:p>
        </w:tc>
        <w:tc>
          <w:tcPr>
            <w:tcW w:type="dxa" w:w="208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責任角色（待指定）</w:t>
            </w:r>
          </w:p>
        </w:tc>
        <w:tc>
          <w:tcPr>
            <w:tcW w:type="dxa" w:w="316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輸出紀錄／停止條件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依據核對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計畫有效期、資格、用途、限制與來源版本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承辦／覆核</w:t>
            </w:r>
          </w:p>
        </w:tc>
        <w:tc>
          <w:tcPr>
            <w:tcW w:type="dxa" w:w="316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依據核對表；來源缺失即停止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方案編製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適用課程、條件、名額、預算、期間、退費與申訴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方案編製角色</w:t>
            </w:r>
          </w:p>
        </w:tc>
        <w:tc>
          <w:tcPr>
            <w:tcW w:type="dxa" w:w="316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方案草案；額度不得超過可證實且核定的資源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公平審查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資格一致、排序方式、利益衝突、個資最小化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審查角色</w:t>
            </w:r>
          </w:p>
        </w:tc>
        <w:tc>
          <w:tcPr>
            <w:tcW w:type="dxa" w:w="316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去識別決定紀錄；規則不一致退回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權責核定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審議依據、可用預算及公開文字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權責核定者</w:t>
            </w:r>
          </w:p>
        </w:tc>
        <w:tc>
          <w:tcPr>
            <w:tcW w:type="dxa" w:w="316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正式決議、核定版本及生效日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公開受理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公告條件與核定文件逐項一致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發布承辦／覆核</w:t>
            </w:r>
          </w:p>
        </w:tc>
        <w:tc>
          <w:tcPr>
            <w:tcW w:type="dxa" w:w="316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公告截圖、網址、發布／下架日期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通知與異議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通知結果、理由、補件或異議管道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指定通知／覆核角色</w:t>
            </w:r>
          </w:p>
        </w:tc>
        <w:tc>
          <w:tcPr>
            <w:tcW w:type="dxa" w:w="316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送達與異議處理紀錄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結案核對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名額、支出、退款、未用額及憑證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財務／覆核</w:t>
            </w:r>
          </w:p>
        </w:tc>
        <w:tc>
          <w:tcPr>
            <w:tcW w:type="dxa" w:w="316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結案表、差異及改善；數據來源可追溯</w:t>
            </w:r>
          </w:p>
        </w:tc>
      </w:tr>
    </w:tbl>
    <w:p>
      <w:pPr>
        <w:pStyle w:val="Heading2"/>
        <w:keepNext/>
      </w:pPr>
      <w:r>
        <w:t>例外、變更與結案</w:t>
      </w:r>
    </w:p>
    <w:p>
      <w:pPr>
        <w:spacing w:after="80"/>
      </w:pPr>
      <w:r>
        <w:t>經費或名額不足、補助資格不明、申請逾期、申請資料不全、疑似重複申請、利益衝突、課程取消或核定條件變更時，先凍結該案的承諾與對外資訊，由非原承辦權責角色覆核。以書面記錄理由、依據、通知內容、退款或改期處置及後續驗證。個案結果不得改寫一般資格規則。</w:t>
      </w:r>
    </w:p>
    <w:p>
      <w:pPr>
        <w:spacing w:after="80"/>
      </w:pPr>
      <w:r>
        <w:t>公開前逐項填入：方案名稱、來源機關／計畫、有效期、資格、適用課程、名額、費用與優惠計算方式、申請期間、受理窗口、退費、異議方式、資料使用說明、核定版次及公開位置。任何欄位無正式依據時標記待補，不自行編值。</w:t>
      </w:r>
    </w:p>
    <w:p>
      <w:pPr>
        <w:pStyle w:val="Heading2"/>
        <w:keepNext/>
      </w:pPr>
      <w:r>
        <w:t>保存與檢查</w:t>
      </w:r>
    </w:p>
    <w:p>
      <w:pPr>
        <w:spacing w:after="80"/>
      </w:pPr>
      <w:r>
        <w:t>案件檔案依核定的權限、保存期限及個資程序管理。稽核時由第二覆核角色抽核來源效期、申請條件、名額／金額、公告與結案是否相符。政策檢討完成率＝已完成覆核條款數／應檢討條款數；未設定週期或分母為零時不計。</w:t>
      </w:r>
    </w:p>
    <w:p>
      <w:pPr>
        <w:pStyle w:val="Heading2"/>
        <w:keepNext/>
        <w:pageBreakBefore/>
      </w:pPr>
      <w:r>
        <w:t>政策條款、責任、揭露與檢視頻率表</w:t>
      </w:r>
    </w:p>
    <w:p>
      <w:pPr>
        <w:keepNext/>
      </w:pPr>
      <w:r>
        <w:t>本表為制度執行檢核工具。角色、正式公開管道及來源未核定前，維持待補，不對外承諾。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368"/>
            <w:shd w:fill="1F4E7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控制事項</w:t>
            </w:r>
          </w:p>
        </w:tc>
        <w:tc>
          <w:tcPr>
            <w:tcW w:type="dxa" w:w="1728"/>
            <w:shd w:fill="1F4E7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責任角色</w:t>
            </w:r>
          </w:p>
        </w:tc>
        <w:tc>
          <w:tcPr>
            <w:tcW w:type="dxa" w:w="2664"/>
            <w:shd w:fill="1F4E7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公開揭露／控制</w:t>
            </w:r>
          </w:p>
        </w:tc>
        <w:tc>
          <w:tcPr>
            <w:tcW w:type="dxa" w:w="2232"/>
            <w:shd w:fill="1F4E7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應留證據</w:t>
            </w:r>
          </w:p>
        </w:tc>
        <w:tc>
          <w:tcPr>
            <w:tcW w:type="dxa" w:w="1368"/>
            <w:shd w:fill="1F4E7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檢視頻率</w:t>
            </w:r>
          </w:p>
        </w:tc>
      </w:tr>
      <w:tr>
        <w:tc>
          <w:tcPr>
            <w:tcW w:type="dxa" w:w="136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資格與來源核對</w:t>
            </w:r>
          </w:p>
        </w:tc>
        <w:tc>
          <w:tcPr>
            <w:tcW w:type="dxa" w:w="172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承辦／覆核角色待協會指定</w:t>
            </w:r>
          </w:p>
        </w:tc>
        <w:tc>
          <w:tcPr>
            <w:tcW w:type="dxa" w:w="2664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先核實正式計畫、適用期間、資格及限制；來源不明即停止對外宣稱。</w:t>
            </w:r>
          </w:p>
        </w:tc>
        <w:tc>
          <w:tcPr>
            <w:tcW w:type="dxa" w:w="2232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來源文件、版本、頁次、核對日</w:t>
            </w:r>
          </w:p>
        </w:tc>
        <w:tc>
          <w:tcPr>
            <w:tcW w:type="dxa" w:w="136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每案申請前</w:t>
            </w:r>
          </w:p>
        </w:tc>
      </w:tr>
      <w:tr>
        <w:tc>
          <w:tcPr>
            <w:tcW w:type="dxa" w:w="136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優惠條件與方案</w:t>
            </w:r>
          </w:p>
        </w:tc>
        <w:tc>
          <w:tcPr>
            <w:tcW w:type="dxa" w:w="172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方案提案／權責核定角色待指定</w:t>
            </w:r>
          </w:p>
        </w:tc>
        <w:tc>
          <w:tcPr>
            <w:tcW w:type="dxa" w:w="2664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核對適用課程、對象、名額、金額或折扣、期限及申請方式。</w:t>
            </w:r>
          </w:p>
        </w:tc>
        <w:tc>
          <w:tcPr>
            <w:tcW w:type="dxa" w:w="2232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核定方案、預算與名額依據、版本</w:t>
            </w:r>
          </w:p>
        </w:tc>
        <w:tc>
          <w:tcPr>
            <w:tcW w:type="dxa" w:w="136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每次方案及變更時</w:t>
            </w:r>
          </w:p>
        </w:tc>
      </w:tr>
      <w:tr>
        <w:tc>
          <w:tcPr>
            <w:tcW w:type="dxa" w:w="136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公平審查與例外</w:t>
            </w:r>
          </w:p>
        </w:tc>
        <w:tc>
          <w:tcPr>
            <w:tcW w:type="dxa" w:w="172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承辦初審、覆核及權責核定角色待指定</w:t>
            </w:r>
          </w:p>
        </w:tc>
        <w:tc>
          <w:tcPr>
            <w:tcW w:type="dxa" w:w="2664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依同一標準審查；例外須有權責核准及理由，不得超出權限。</w:t>
            </w:r>
          </w:p>
        </w:tc>
        <w:tc>
          <w:tcPr>
            <w:tcW w:type="dxa" w:w="2232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申請／審查表、理由、利益迴避及決議紀錄</w:t>
            </w:r>
          </w:p>
        </w:tc>
        <w:tc>
          <w:tcPr>
            <w:tcW w:type="dxa" w:w="136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逐案審查</w:t>
            </w:r>
          </w:p>
        </w:tc>
      </w:tr>
      <w:tr>
        <w:tc>
          <w:tcPr>
            <w:tcW w:type="dxa" w:w="136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公告、履約與結案</w:t>
            </w:r>
          </w:p>
        </w:tc>
        <w:tc>
          <w:tcPr>
            <w:tcW w:type="dxa" w:w="172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公告承辦／財務覆核角色待指定</w:t>
            </w:r>
          </w:p>
        </w:tc>
        <w:tc>
          <w:tcPr>
            <w:tcW w:type="dxa" w:w="2664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只發布核定版；清楚揭露條件、費用、期限、退費及聯絡方式；異動即更新。</w:t>
            </w:r>
          </w:p>
        </w:tc>
        <w:tc>
          <w:tcPr>
            <w:tcW w:type="dxa" w:w="2232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公告版本、網址或截圖、發布日、收支／退費結案核對</w:t>
            </w:r>
          </w:p>
        </w:tc>
        <w:tc>
          <w:tcPr>
            <w:tcW w:type="dxa" w:w="136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發布前、變更時及結案時</w:t>
            </w:r>
          </w:p>
        </w:tc>
      </w:tr>
    </w:tbl>
    <w:p>
      <w:pPr>
        <w:pStyle w:val="Heading2"/>
        <w:keepNext/>
        <w:pageBreakBefore w:val="0"/>
      </w:pPr>
      <w:r>
        <w:t>專屬要求追溯表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704"/>
      </w:tblGrid>
      <w:tr>
        <w:trPr>
          <w:tblHeader w:val="true"/>
        </w:trPr>
        <w:tc>
          <w:tcPr>
            <w:tcW w:type="dxa" w:w="208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追溯欄位</w:t>
            </w:r>
          </w:p>
        </w:tc>
        <w:tc>
          <w:tcPr>
            <w:tcW w:type="dxa" w:w="770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填寫／核對內容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官方要求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補助參與機構公開招生課程或進階課程優惠辦法之規定。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資料來源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正式補助計畫、協會預算／課程核定、申請、公告、異議與結案原始紀錄（待取得）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欄位／指標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適用類型、資格、核定額度、流程關卡、公開文字、證據與檢討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結果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目前無核定補助或優惠資料；此程序需協會審議後方可生效。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證據位置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檔名、頁次／欄位、保存位置：[待填]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覆核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覆核角色、日期、核對結論：[待補／待核定]</w:t>
            </w:r>
          </w:p>
        </w:tc>
      </w:tr>
    </w:tbl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確認與核定欄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編製人／角色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覆核人／角色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核定人／角色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確認日期</w:t>
            </w:r>
          </w:p>
        </w:tc>
        <w:tc>
          <w:tcPr>
            <w:tcW w:type="dxa" w:w="27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核定依據或紀錄位置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補助參與機構公開招生課程或進階課程優惠辦法之_制度文件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