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本表同時作為制度控制及真實升格核對工具。逐列勾選狀態並記錄來源；角色、公開管道或來源未核定時維持待補，全部完成權責核定前不對外承諾。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r>
              <w:t>正式計畫、版本、頁次及核對日期；狀態：□待取得 □待核定 □完成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r>
              <w:t>核定方案、預算／名額依據及版本；狀態：□待取得 □待核定 □完成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r>
              <w:t>申請／審查表、理由、利益迴避及決議；狀態：□待補 □待核定 □完成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r>
              <w:t>公告版本、網址／截圖、發布日期、收支／退費核對；狀態：□待補 □待核定 □完成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