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顧客價值分析報告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直接回應官方方框：與訓練政策有關之訓練產品與市場定位。。本文件功能為「顧客價值分析報告」，不以索引或通用摘要代替正文。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OFR-009-D01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指標2／第1頁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官方編號：OFR-009　｜　官方方框文字：與訓練政策有關之訓練產品與市場定位。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本文件以「顧客價值分析報告」格式完整回應本項官方要求，並說明作業、判斷、資料來源與正式採用條件。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客戶及學員主張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本報告把學員與客戶可感受到的課程價值拆成需求、體驗、學習、後續使用及組織結果，不把一種問卷分數當成全部價值。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價值指標與口徑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先定義受益者、課程主張、觀察期間及可驗證指標。若沒有真實基線或外部證據，對價值成效只作待驗證判讀。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期間及母體</w:t>
      </w:r>
    </w:p>
    <w:p>
      <w:r>
        <w:rPr>
          <w:rFonts w:ascii="Microsoft JhengHei" w:hAnsi="Microsoft JhengHei" w:eastAsia="Microsoft JhengHei"/>
          <w:color w:val="000000"/>
          <w:sz w:val="21"/>
        </w:rPr>
        <w:t>學員回饋可呈現內容適切、教材、安排與安全感；不同角色的意見分開彙整，不將少數回覆擴大成全體共識。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顧客價值證據分層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價值層次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擬真或待取得證據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可支持的判讀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不能支持的判讀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課程反應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均分4.14/5；7份回覆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示例回覆者反應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全體或市場滿意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前後測差+15.50分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示例測驗變化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臨床能力或因果效果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行為應用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30／60日自陳追蹤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示例自我報告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雇主認證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組織／顧客成果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原件待取得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目前無法判定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品質或營收提升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調查與第三方來源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擬真案例的反應分數、前後測及自陳行為追蹤各代表不同層次。需保留其分母和來源限制，不作單一價值指數。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結果分層</w:t>
      </w:r>
    </w:p>
    <w:p>
      <w:r>
        <w:rPr>
          <w:rFonts w:ascii="Microsoft JhengHei" w:hAnsi="Microsoft JhengHei" w:eastAsia="Microsoft JhengHei"/>
          <w:color w:val="000000"/>
          <w:sz w:val="21"/>
        </w:rPr>
        <w:t>外部雇主、客戶或服務對象資料需有合法授權及原始來源。沒有原件時不得寫成工作績效或顧客改善。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限制與歸因</w:t>
      </w:r>
    </w:p>
    <w:p>
      <w:r>
        <w:rPr>
          <w:rFonts w:ascii="Microsoft JhengHei" w:hAnsi="Microsoft JhengHei" w:eastAsia="Microsoft JhengHei"/>
          <w:color w:val="000000"/>
          <w:sz w:val="21"/>
        </w:rPr>
        <w:t>依證據強度說明價值：使用者意見、測驗、持續行為、第三方驗證分層呈現。因果只能在設計和資料足夠時討論。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後續驗證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後續改進先處理對象明確且可驗證的需求，記錄責任、期限與下一輪量測方式。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現行原件9頁；本項第1頁；控制文件逐框來源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OFR-009-D01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