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學習評估報告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直接回應官方方框：課程規劃會議紀錄展現訓練課程設計流程，擬定訓練評估方法並作為訓練成效評估的依據，且有佐證資料可查。。本文件功能為「學習評估報告」，不以索引或通用摘要代替正文。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OFR-040-D02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指標8／第3頁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官方編號：OFR-040　｜　官方方框文字：課程規劃會議紀錄展現訓練課程設計流程，擬定訓練評估方法並作為訓練成效評估的依據，且有佐證資料可查。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本文件以「學習評估報告」格式完整回應本項官方要求，並說明作業、判斷、資料來源與正式採用條件。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學習目標與評量藍圖</w:t>
      </w:r>
    </w:p>
    <w:p>
      <w:r>
        <w:rPr>
          <w:rFonts w:ascii="Microsoft JhengHei" w:hAnsi="Microsoft JhengHei" w:eastAsia="Microsoft JhengHei"/>
          <w:color w:val="000000"/>
          <w:sz w:val="21"/>
        </w:rPr>
        <w:t>學習評估回答學員是否達到課程目標，並與反應、行為追蹤和組織成果分開報告。此示例沒有臨床技能或醫療效果評量。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前後測與實作標準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每一題或任務對應明確學習目標、評分規準、通過門檻、評量者與補救方式。正式量尺須經課程權責者核定。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題目／任務結果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SIM-2026-001 的擬真前測平均61.25分、後測平均76.75分，平均差15.50分；須同時檢查配對完整度與個別差異。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擬真前後測與實作結果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匿名代碼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前測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後測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差值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實作狀態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SIM03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SIM04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+20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SIM06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+13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SIM07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待補救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+10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未完成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缺失分類</w:t>
      </w:r>
    </w:p>
    <w:p>
      <w:r>
        <w:rPr>
          <w:rFonts w:ascii="Microsoft JhengHei" w:hAnsi="Microsoft JhengHei" w:eastAsia="Microsoft JhengHei"/>
          <w:color w:val="000000"/>
          <w:sz w:val="21"/>
        </w:rPr>
        <w:t>實作示例呈現六人達標、一人待補救、一人未完成。這只演示分類與分母，不表示真實學員能力或資格。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補救與再測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未達標者需有回饋、補救、再測及覆核紀錄；缺席或未完成者列為未測或未完成，不以平均值替代。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下一班修訂依據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分析結果可用於下一班修訂題目、示例和練習安排。須保留題目版本、評分量尺、匿名化明細與公式。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模擬完訓條件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至少出席9／12小時且安全關鍵實作達標（示例規則）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協會核定完訓規則及現行申辦要求。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模擬前測分數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SIM01=60、SIM02=55、SIM03=70、SIM04=65、SIM05=50、SIM06=75、SIM07=60、SIM08=55；平均61.25分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匿名化原始前測卷與計分底稿。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現行原件9頁；本項第3頁；控制文件逐框來源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OFR-040-D02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