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訪談紀錄與統計分析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直接回應官方方框：針對需求單位進行訪談並留有紀錄與統計分析。。本文件功能為「訪談紀錄與統計分析」，不以索引或通用摘要代替正文。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官方編號：OFR-044　｜　官方方框文字：針對需求單位進行訪談並留有紀錄與統計分析。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本文件以「訪談紀錄與統計分析」格式完整回應本項官方要求，並說明作業、判斷、資料來源與正式採用條件。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訪談目的與對象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本報告示範訪談提綱、匿名編碼、主題彙整與課程決策轉換。樣本為五筆模擬編碼練習，沒有實際受訪者、逐字稿或引言。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訪談提綱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正式訪談應先界定研究目的、條件、取樣方法、告知與同意方式，並避免蒐集不必要健康或身分資料。訪談邀請和拒訪紀錄須與內容資料分開保管。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摘要紀錄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問題由工作情境、學習障礙、非醫療安全理解、理想課程形式和可行時段組成。追問保持中性，不能暗示療效或誘導受訪者認同協會方案。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模擬主題編碼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模擬出現數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解讀限制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可能設計回應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非醫療安全界線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模擬編碼練習；非真實訪談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增加界線與停止條件單元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可操作示例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多主題可重疊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採案例演練並由量規檢核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教材提前提供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不得推論所有人需求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規劃核定後的課前材料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週末時段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探索性、樣本小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實際排課前再調查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編碼與分類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模擬摘要只用主題代碼呈現，不製作虛構原話。真實分析需保存匿名化逐字稿、編碼本、第二人覆核與分歧處理紀錄。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編碼採一段一主題或多主題標籤，報告同時保留相反意見與例外；小樣本只作探索，不以頻次宣稱普遍需求。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課程設計影響</w:t>
      </w:r>
    </w:p>
    <w:p>
      <w:r>
        <w:rPr>
          <w:rFonts w:ascii="Microsoft JhengHei" w:hAnsi="Microsoft JhengHei" w:eastAsia="Microsoft JhengHei"/>
          <w:color w:val="000000"/>
          <w:sz w:val="21"/>
        </w:rPr>
        <w:t>只有在真實訪談、同意及編碼完成後，才可把主題連到課程單元。未核實主題列為下一輪問題，不作正式需求結論。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偏差與限制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限制至少包括樣本來源、未回覆、訪談者影響、主題定義與資料保護。任何外部引用需留原始出處和使用範圍。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模擬訪談編碼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5筆模擬編碼：非醫療安全界線4、可操作示例3、教材提前提供2、週末時段2；主題可複選。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受訪者同意、匿名逐字稿、編碼本及覆核紀錄。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