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甄選與採購文件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甄選與採購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本文件以「甄選與採購文件」格式完整回應本項官方要求，並說明作業、判斷、資料來源與正式採用條件。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需求規格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本文件提供師資或供應者評選方法與擬真算分示例。代碼與分數不代表實際人選、資格、評選會、聘任、採購或支出。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資格門檻</w:t>
      </w:r>
    </w:p>
    <w:p>
      <w:r>
        <w:rPr>
          <w:rFonts w:ascii="Microsoft JhengHei" w:hAnsi="Microsoft JhengHei" w:eastAsia="Microsoft JhengHei"/>
          <w:color w:val="000000"/>
          <w:sz w:val="21"/>
        </w:rPr>
        <w:t>需求規格先連到課程目標及非醫療範圍；資格條件應能以原始證件或作品核實，並避免設定不必要或排除性門檻。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評選權重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評選前核對審查者利益衝突、個資存取與資料保存。評分指標、權重及合格門檻須在收到提案前經核定，過程中不可為特定人選改標準。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擬真評選比較表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候選代碼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目標切合／30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教學設計／30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安全界線／20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可行性／20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總分／100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16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SIM-T02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15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84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SIM-T03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利益衝突檢核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比較資料需列明來源、取得日期、缺件與可驗證狀態。不能把自述簡歷當成已核實資格，也不能用擬真評分取代正式審查。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比較與判定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結果由計算公式重算，並記錄排序、分歧、未達門檻及補件機會。擬真排序僅供檢查表單，不選定實際人員。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議決及採購流程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涉及費用、聘任或採購時須依協會財務及核定程序辦理。採購決定、契約與付款憑證均待取得，不在本稿中虛構。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契約與履約監督</w:t>
      </w:r>
    </w:p>
    <w:p>
      <w:r>
        <w:rPr>
          <w:rFonts w:ascii="Microsoft JhengHei" w:hAnsi="Microsoft JhengHei" w:eastAsia="Microsoft JhengHei"/>
          <w:color w:val="000000"/>
          <w:sz w:val="21"/>
        </w:rPr>
        <w:t>契約應說明交付、期限、品質、個資、取消、付款與驗收方式；簽約權責及支出額需實際核定後填列。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紀錄保存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履約後核對成果與契約，記錄缺失、修正及結案。未實際採購時不得產生履約成績或滿意度。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模擬師資評選分數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SIM-T01：27／30、24／30、18／20、16／20，合計85／100；SIM-T02：24／30、27／30、15／20、18／20，合計84／100；SIM-T03：21／30、21／30、20／20、14／20，合計76／100。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實際資格文件、利益衝突檢核、評選紀錄及聘任核定。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