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利害關係人會議紀錄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直接回應官方方框：各項課程產出均經討論後確認，且留有完整紀錄與主管核定。。本文件功能為「利害關係人會議紀錄」，不以索引或通用摘要代替正文。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官方編號：OFR-053　｜　官方方框文字：各項課程產出均經討論後確認，且留有完整紀錄與主管核定。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本文件以「利害關係人會議紀錄」格式完整回應本項官方要求，並說明作業、判斷、資料來源與正式採用條件。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會議基本資料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本份紀錄是 SIM-2026-001 課程規劃會議的完整擬真示例。日期、出席角色、討論與結論均依擬真母表，不是協會實際開會或正式決議。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出席角色與利益關係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紀錄欄包括日期方式、主席角色、出席角色、利益關係、議程、參考資料及紀錄版本；真實會議應附簽到或可驗證的線上出席資料。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議程與材料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議程聚焦非醫療課程定位、學習目標、時程評量、場地及費用核實關卡。各議題需記錄不同意見與待查證事項，不把沉默當共識。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議題、擬真討論與追蹤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討論焦點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擬真結論／狀態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待辦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維持草案，待法規核對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取得官方最新要求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教學與評量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目標、時程與評量能否對應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待修訂，不視為正式通過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完成課程文件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場地與財務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原件、報價及安全資料是否齊備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待取得，未授權支出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提交實際來源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公告與申辦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需何種核准及對外資訊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未取得前不公告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核對主管機關程序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各方發言摘要</w:t>
      </w:r>
    </w:p>
    <w:p>
      <w:r>
        <w:rPr>
          <w:rFonts w:ascii="Microsoft JhengHei" w:hAnsi="Microsoft JhengHei" w:eastAsia="Microsoft JhengHei"/>
          <w:color w:val="000000"/>
          <w:sz w:val="21"/>
        </w:rPr>
        <w:t>意見摘要要區分原話摘要、承辦解讀及資料來源；不得補寫未發生的發言。擬真案例將未核定事項清楚保留。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分歧與評估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結論採草案狀態，不產生聘任、支出、招生或申辦授權。正式決議須由協會依章程及權責程序確認。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決議草案／核定狀態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每項追蹤指定角色代碼、完成條件與期限；未有實際人名時保留角色，不自行分配給特定理監事或志工。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負責人與期限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會後由紀錄者校對，再交出席者核閱；版本、修訂及核定時間須登錄。本文模擬紀錄不含簽名或用印。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追蹤事項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追蹤時逐項檢查文件、負責角色、狀態及證據位置；未完成或無法核實的事項保留待辦狀態。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模擬規劃會議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2026年5月30日；角色：SIM-ROLE-LEAD、SIM-ROLE-ADMIN、SIM-ROLE-FINANCE、SIM-INSTRUCTOR-01；模擬結論：持續修訂草案，招生、聘任、支出及申辦另待實際核定。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實際議程、出席證明、會議紀錄與核定決議。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