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課程規劃書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直接回應官方方框：規劃課程依學員及結訓學員意見訂定訓練課程，且流程有完整紀錄。。本文件功能為「課程規劃書」，不以索引或通用摘要代替正文。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官方編號：OFR-054　｜　官方方框文字：規劃課程依學員及結訓學員意見訂定訓練課程，且流程有完整紀錄。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本文件以「課程規劃書」格式完整回應本項官方要求，並說明作業、判斷、資料來源與正式採用條件。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需求與學習者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本計畫以健康教育與非醫療服務安全為核心，設計成可核實、可停止及可修訂的擬真班級案例。課程是否辦理須經主管機關要求查核、協會核定與資源確認。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擬定對象為有健康教育或相關服務學習需求的成人；正式招生前須確認先備條件、合理支持、名額及服務範圍，不作診療資格或效果保證。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職能對應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學習目標採可觀察行為：說明非醫療界線、辨識需停止或轉介情境、使用清楚的溝通同意語句、規劃一段不含醫療宣稱的健康教育活動。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單元及時程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單元由界線與風險、溝通同意、服務倫理、活動設計、情境演練及評量回饋構成。擬真排程總時數與日期依 scenario master 計算。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師資教材場地</w:t>
      </w:r>
    </w:p>
    <w:p>
      <w:r>
        <w:rPr>
          <w:rFonts w:ascii="Microsoft JhengHei" w:hAnsi="Microsoft JhengHei" w:eastAsia="Microsoft JhengHei"/>
          <w:color w:val="000000"/>
          <w:sz w:val="21"/>
        </w:rPr>
        <w:t>講師需以實際文件核實資格與可授課範圍；教材需經內容和法規覆核；場地與設備需完成現場檢查。擬真代碼不代表實際聘任、場地或核准。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教學方法與評量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教學採短講、案例辨識、小組討論與情境演練；評量分開測量知識、溝通及安全判斷，不將學習評量說成醫療能力或臨床成果。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安全及個資</w:t>
      </w:r>
    </w:p>
    <w:p>
      <w:r>
        <w:rPr>
          <w:rFonts w:ascii="Microsoft JhengHei" w:hAnsi="Microsoft JhengHei" w:eastAsia="Microsoft JhengHei"/>
          <w:color w:val="000000"/>
          <w:sz w:val="21"/>
        </w:rPr>
        <w:t>開課前核對主管機關程序、場地安全、保險及個資告知。出現超出範圍的內容或學員不適時，立即停止相關活動並依核定程序處理。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預算與核定關卡</w:t>
      </w:r>
    </w:p>
    <w:p>
      <w:r>
        <w:rPr>
          <w:rFonts w:ascii="Microsoft JhengHei" w:hAnsi="Microsoft JhengHei" w:eastAsia="Microsoft JhengHei"/>
          <w:color w:val="000000"/>
          <w:sz w:val="21"/>
        </w:rPr>
        <w:t>費用、收入、支出與核准狀態目前均為模擬或待取得。正式計畫須附實際報價、原始憑證、核定紀錄與取消退款資訊。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