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年度分析與管理審查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直接回應官方方框：相關文件能記錄近年來對於課程之評估、採購、簽約與後續管理作業的檢討及改善。。本文件功能為「年度分析與管理審查」，不以索引或通用摘要代替正文。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OFR-048-D02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指標10／第3頁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官方編號：OFR-048　｜　官方方框文字：相關文件能記錄近年來對於課程之評估、採購、簽約與後續管理作業的檢討及改善。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本文件以「年度分析與管理審查」格式完整回應本項官方要求，並說明作業、判斷、資料來源與正式採用條件。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審查輸入</w:t>
      </w:r>
    </w:p>
    <w:p>
      <w:r>
        <w:rPr>
          <w:rFonts w:ascii="Microsoft JhengHei" w:hAnsi="Microsoft JhengHei" w:eastAsia="Microsoft JhengHei"/>
          <w:color w:val="000000"/>
          <w:sz w:val="21"/>
        </w:rPr>
        <w:t>管理審查把需求、執行、學習、回饋、風險及資源資訊放在同一決策流程，目的是確認哪些做法可維持、修訂或停止。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指標趨勢</w:t>
      </w:r>
    </w:p>
    <w:p>
      <w:r>
        <w:rPr>
          <w:rFonts w:ascii="Microsoft JhengHei" w:hAnsi="Microsoft JhengHei" w:eastAsia="Microsoft JhengHei"/>
          <w:color w:val="000000"/>
          <w:sz w:val="21"/>
        </w:rPr>
        <w:t>輸入資料應附版本與來源；本稿如引用擬真案例，需依替換索引逐筆更新，不與歷史協會資料混用。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目標偏差</w:t>
      </w:r>
    </w:p>
    <w:p>
      <w:r>
        <w:rPr>
          <w:rFonts w:ascii="Microsoft JhengHei" w:hAnsi="Microsoft JhengHei" w:eastAsia="Microsoft JhengHei"/>
          <w:color w:val="000000"/>
          <w:sz w:val="21"/>
        </w:rPr>
        <w:t>趨勢表需固定期間、口徑及分母。資料不足時註記資料品質，不用單點平均數掩蓋個別差異。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管理審查輸入與決策草案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輸入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目前示例／缺口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審查問題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決策狀態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n=20；不具母體代表性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核心與延伸課程如何取捨？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待真實調查及協會審議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學習與回饋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擬真平均與比例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需修訂教材或練習嗎？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待實際紀錄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安全與流程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模擬投影異常情境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備援是否可被現場驗證？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待現場檢查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擬真差額NT$1,000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成本口徑及來源是否完整？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憑證待取得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根因與風險</w:t>
      </w:r>
    </w:p>
    <w:p>
      <w:r>
        <w:rPr>
          <w:rFonts w:ascii="Microsoft JhengHei" w:hAnsi="Microsoft JhengHei" w:eastAsia="Microsoft JhengHei"/>
          <w:color w:val="000000"/>
          <w:sz w:val="21"/>
        </w:rPr>
        <w:t>先描述差距，再列可核實原因、未知因素與外部限制。未找到原因時保持未知，不將推測寫成根因。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資源選項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資源方案需列人力、時間、外部支出及風險；未取得報價或核定前不作承諾。可選方案包括維持小規模、延後或暫停。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決策草案</w:t>
      </w:r>
    </w:p>
    <w:p>
      <w:r>
        <w:rPr>
          <w:rFonts w:ascii="Microsoft JhengHei" w:hAnsi="Microsoft JhengHei" w:eastAsia="Microsoft JhengHei"/>
          <w:color w:val="000000"/>
          <w:sz w:val="21"/>
        </w:rPr>
        <w:t>決策結論採草案並列待協會核定事項。只有完成正式會議或書面核定後，才可標為已決定。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追蹤責任與期限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追蹤表指定角色、完成判準、期限與證據位置；下次審查回看是否完成、效果及是否需再修訂。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模擬收支差額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新臺幣1,000元（收入8,000元－支出7,000元）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依實際帳冊與原始憑證重算。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現行原件9頁；本項第3頁；控制文件逐框來源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《社會團體財務處理辦法》官方法規頁 https://law.moj.gov.tw/LawClass/LawAll.aspx?pcode=D0050097；協會原始帳冊、憑證、近三年收入及核定報表：NONE_FOUND_AFTER_SEARCH（限已查閱可讀範圍）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官方法規頁作保存原則參考；協會實際財務原件待取得，不推定未讀取位置不存在；案例數字均為模擬</w:t>
            </w:r>
          </w:p>
        </w:tc>
      </w:tr>
    </w:tbl>
    <w:p>
      <w:pPr>
        <w:keepNext w:val="0"/>
        <w:keepLines w:val="0"/>
        <w:widowControl w:val="0"/>
        <w:spacing w:after="0" w:before="0" w:line="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OFR-048-D02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