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甄選與採購文件</w:t>
      </w:r>
    </w:p>
    <w:p>
      <w:r>
        <w:rPr>
          <w:rFonts w:ascii="Microsoft JhengHei" w:hAnsi="Microsoft JhengHei" w:eastAsia="Microsoft JhengHei"/>
          <w:color w:val="000000"/>
          <w:sz w:val="22"/>
        </w:rPr>
        <w:t>直接回應官方方框：講師的遴聘依師資遴選標準及流程評選並經訓練管理委員會通過後發給聘書。。本文件功能為「甄選與採購文件」，不以索引或通用摘要代替正文。</w:t>
      </w:r>
    </w:p>
    <w:p>
      <w:r>
        <w:rPr>
          <w:rFonts w:ascii="Microsoft JhengHei" w:hAnsi="Microsoft JhengHei" w:eastAsia="Microsoft JhengHei"/>
          <w:b/>
          <w:color w:val="000000"/>
          <w:sz w:val="20"/>
        </w:rPr>
        <w:t>第三方／官方原件待取得｜本文件為完整索取與驗證包</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OFR-058-D01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第三方／官方原件待取得｜本文件為完整索取與驗證包</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官方編號：OFR-058　｜　官方方框文字：講師的遴聘依師資遴選標準及流程評選並經訓練管理委員會通過後發給聘書。</w:t>
      </w:r>
    </w:p>
    <w:p>
      <w:r>
        <w:rPr>
          <w:rFonts w:ascii="Microsoft JhengHei" w:hAnsi="Microsoft JhengHei" w:eastAsia="Microsoft JhengHei"/>
          <w:color w:val="000000"/>
          <w:sz w:val="21"/>
        </w:rPr>
        <w:t>本文件以「甄選與採購文件」格式完整回應本項官方要求，並說明作業、判斷、資料來源與正式採用條件。</w:t>
      </w:r>
    </w:p>
    <w:p>
      <w:pPr>
        <w:pStyle w:val="Heading1"/>
      </w:pPr>
      <w:r>
        <w:rPr>
          <w:rFonts w:ascii="Microsoft JhengHei" w:hAnsi="Microsoft JhengHei" w:eastAsia="Microsoft JhengHei"/>
          <w:b/>
          <w:color w:val="000000"/>
          <w:sz w:val="28"/>
        </w:rPr>
        <w:t>1. 需求規格</w:t>
      </w:r>
    </w:p>
    <w:p>
      <w:r>
        <w:rPr>
          <w:rFonts w:ascii="Microsoft JhengHei" w:hAnsi="Microsoft JhengHei" w:eastAsia="Microsoft JhengHei"/>
          <w:color w:val="000000"/>
          <w:sz w:val="21"/>
        </w:rPr>
        <w:t>本文件提供師資或供應者評選方法與擬真算分示例。代碼與分數不代表實際人選、資格、評選會、聘任、採購或支出。</w:t>
      </w:r>
    </w:p>
    <w:p>
      <w:pPr>
        <w:pStyle w:val="Heading1"/>
      </w:pPr>
      <w:r>
        <w:rPr>
          <w:rFonts w:ascii="Microsoft JhengHei" w:hAnsi="Microsoft JhengHei" w:eastAsia="Microsoft JhengHei"/>
          <w:b/>
          <w:color w:val="000000"/>
          <w:sz w:val="28"/>
        </w:rPr>
        <w:t>2. 資格門檻</w:t>
      </w:r>
    </w:p>
    <w:p>
      <w:r>
        <w:rPr>
          <w:rFonts w:ascii="Microsoft JhengHei" w:hAnsi="Microsoft JhengHei" w:eastAsia="Microsoft JhengHei"/>
          <w:color w:val="000000"/>
          <w:sz w:val="21"/>
        </w:rPr>
        <w:t>需求規格先連到課程目標及非醫療範圍；資格條件應能以原始證件或作品核實，並避免設定不必要或排除性門檻。</w:t>
      </w:r>
    </w:p>
    <w:p>
      <w:pPr>
        <w:pStyle w:val="Heading1"/>
      </w:pPr>
      <w:r>
        <w:rPr>
          <w:rFonts w:ascii="Microsoft JhengHei" w:hAnsi="Microsoft JhengHei" w:eastAsia="Microsoft JhengHei"/>
          <w:b/>
          <w:color w:val="000000"/>
          <w:sz w:val="28"/>
        </w:rPr>
        <w:t>3. 評選權重</w:t>
      </w:r>
    </w:p>
    <w:p>
      <w:r>
        <w:rPr>
          <w:rFonts w:ascii="Microsoft JhengHei" w:hAnsi="Microsoft JhengHei" w:eastAsia="Microsoft JhengHei"/>
          <w:color w:val="000000"/>
          <w:sz w:val="21"/>
        </w:rPr>
        <w:t>評選前核對審查者利益衝突、個資存取與資料保存。評分指標、權重及合格門檻須在收到提案前經核定，過程中不可為特定人選改標準。</w:t>
      </w:r>
    </w:p>
    <w:p>
      <w:pPr>
        <w:keepNext/>
      </w:pPr>
      <w:r>
        <w:rPr>
          <w:rFonts w:ascii="Microsoft JhengHei" w:hAnsi="Microsoft JhengHei" w:eastAsia="Microsoft JhengHei"/>
          <w:b/>
          <w:color w:val="000000"/>
          <w:sz w:val="20"/>
        </w:rPr>
        <w:t>擬真評選比較表</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候選代碼</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目標切合／30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教學設計／30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安全界線／20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可行性／20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總分／100</w:t>
            </w:r>
          </w:p>
        </w:tc>
      </w:tr>
      <w:tr>
        <w:trPr>
          <w:cantSplit/>
        </w:trPr>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27</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24</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18</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16</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85</w:t>
            </w:r>
          </w:p>
        </w:tc>
      </w:tr>
      <w:tr>
        <w:trPr>
          <w:cantSplit/>
        </w:trPr>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SIM-T02</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24</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27</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15</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18</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84</w:t>
            </w:r>
          </w:p>
        </w:tc>
      </w:tr>
      <w:tr>
        <w:trPr>
          <w:cantSplit/>
        </w:trPr>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SIM-T03</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14</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76</w:t>
            </w:r>
          </w:p>
        </w:tc>
      </w:tr>
    </w:tbl>
    <w:p>
      <w:pPr>
        <w:spacing w:after="20"/>
      </w:pPr>
    </w:p>
    <w:p>
      <w:pPr>
        <w:pStyle w:val="Heading1"/>
      </w:pPr>
      <w:r>
        <w:rPr>
          <w:rFonts w:ascii="Microsoft JhengHei" w:hAnsi="Microsoft JhengHei" w:eastAsia="Microsoft JhengHei"/>
          <w:b/>
          <w:color w:val="000000"/>
          <w:sz w:val="28"/>
        </w:rPr>
        <w:t>4. 利益衝突檢核</w:t>
      </w:r>
    </w:p>
    <w:p>
      <w:r>
        <w:rPr>
          <w:rFonts w:ascii="Microsoft JhengHei" w:hAnsi="Microsoft JhengHei" w:eastAsia="Microsoft JhengHei"/>
          <w:color w:val="000000"/>
          <w:sz w:val="21"/>
        </w:rPr>
        <w:t>比較資料需列明來源、取得日期、缺件與可驗證狀態。不能把自述簡歷當成已核實資格，也不能用擬真評分取代正式審查。</w:t>
      </w:r>
    </w:p>
    <w:p>
      <w:pPr>
        <w:pStyle w:val="Heading1"/>
      </w:pPr>
      <w:r>
        <w:rPr>
          <w:rFonts w:ascii="Microsoft JhengHei" w:hAnsi="Microsoft JhengHei" w:eastAsia="Microsoft JhengHei"/>
          <w:b/>
          <w:color w:val="000000"/>
          <w:sz w:val="28"/>
        </w:rPr>
        <w:t>5. 比較與判定</w:t>
      </w:r>
    </w:p>
    <w:p>
      <w:r>
        <w:rPr>
          <w:rFonts w:ascii="Microsoft JhengHei" w:hAnsi="Microsoft JhengHei" w:eastAsia="Microsoft JhengHei"/>
          <w:color w:val="000000"/>
          <w:sz w:val="21"/>
        </w:rPr>
        <w:t>結果由計算公式重算，並記錄排序、分歧、未達門檻及補件機會。擬真排序僅供檢查表單，不選定實際人員。</w:t>
      </w:r>
    </w:p>
    <w:p>
      <w:pPr>
        <w:pStyle w:val="Heading1"/>
      </w:pPr>
      <w:r>
        <w:rPr>
          <w:rFonts w:ascii="Microsoft JhengHei" w:hAnsi="Microsoft JhengHei" w:eastAsia="Microsoft JhengHei"/>
          <w:b/>
          <w:color w:val="000000"/>
          <w:sz w:val="28"/>
        </w:rPr>
        <w:t>6. 議決及採購流程</w:t>
      </w:r>
    </w:p>
    <w:p>
      <w:r>
        <w:rPr>
          <w:rFonts w:ascii="Microsoft JhengHei" w:hAnsi="Microsoft JhengHei" w:eastAsia="Microsoft JhengHei"/>
          <w:color w:val="000000"/>
          <w:sz w:val="21"/>
        </w:rPr>
        <w:t>涉及費用、聘任或採購時須依協會財務及核定程序辦理。採購決定、契約與付款憑證均待取得，不在本稿中虛構。</w:t>
      </w:r>
    </w:p>
    <w:p>
      <w:pPr>
        <w:pStyle w:val="Heading1"/>
      </w:pPr>
      <w:r>
        <w:rPr>
          <w:rFonts w:ascii="Microsoft JhengHei" w:hAnsi="Microsoft JhengHei" w:eastAsia="Microsoft JhengHei"/>
          <w:b/>
          <w:color w:val="000000"/>
          <w:sz w:val="28"/>
        </w:rPr>
        <w:t>7. 契約與履約監督</w:t>
      </w:r>
    </w:p>
    <w:p>
      <w:r>
        <w:rPr>
          <w:rFonts w:ascii="Microsoft JhengHei" w:hAnsi="Microsoft JhengHei" w:eastAsia="Microsoft JhengHei"/>
          <w:color w:val="000000"/>
          <w:sz w:val="21"/>
        </w:rPr>
        <w:t>契約應說明交付、期限、品質、個資、取消、付款與驗收方式；簽約權責及支出額需實際核定後填列。</w:t>
      </w:r>
    </w:p>
    <w:p>
      <w:pPr>
        <w:pStyle w:val="Heading1"/>
      </w:pPr>
      <w:r>
        <w:rPr>
          <w:rFonts w:ascii="Microsoft JhengHei" w:hAnsi="Microsoft JhengHei" w:eastAsia="Microsoft JhengHei"/>
          <w:b/>
          <w:color w:val="000000"/>
          <w:sz w:val="28"/>
        </w:rPr>
        <w:t>8. 紀錄保存</w:t>
      </w:r>
    </w:p>
    <w:p>
      <w:r>
        <w:rPr>
          <w:rFonts w:ascii="Microsoft JhengHei" w:hAnsi="Microsoft JhengHei" w:eastAsia="Microsoft JhengHei"/>
          <w:color w:val="000000"/>
          <w:sz w:val="21"/>
        </w:rPr>
        <w:t>履約後核對成果與契約，記錄缺失、修正及結案。未實際採購時不得產生履約成績或滿意度。</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所需第三方／官方原件尚未取得或讀回。本文件僅提供索取、驗真、收件及替換方法；不含偽造回函、證書、核准、簽章或保險文件。</w:t>
      </w:r>
    </w:p>
    <w:p>
      <w:r>
        <w:rPr>
          <w:rFonts w:ascii="Microsoft JhengHei" w:hAnsi="Microsoft JhengHei" w:eastAsia="Microsoft JhengHei"/>
          <w:color w:val="000000"/>
          <w:sz w:val="21"/>
        </w:rPr>
        <w:t>本文件若含 SIM 代碼或分數，只是擬真練習值；第三方原件仍待實際取得。</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模擬師資評選分數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SIM-T01：27／30、24／30、18／20、16／20，合計85／100；SIM-T02：24／30、27／30、15／20、18／20，合計84／100；SIM-T03：21／30、21／30、20／20、14／20，合計76／100。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實際資格文件、利益衝突檢核、評選紀錄及聘任核定。</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現行原件9頁；本項第4頁；控制文件逐框來源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指標12.docx；Drive ID 1i7Dpa2nugFMzsDimiB60Ym9aaYaOBkNY</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衛福部中醫藥司《民俗調理業相關現行規範》https://dep.mohw.gov.tw/DOCMAP/cp-4388-39600-108.html；《民俗調理人員訓練課程申辦注意事項》https://dep.mohw.gov.tw/DOCMAP/cp-4386-83713-108.html</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官方頁於2026年查閱；申辦、資格與範圍依當期原件核對；未取得核准仍標待取得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OFR-058-D01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