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甄選與採購文件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直接回應官方方框：依學員遴選標準及流程遴選，教材由講師及顧問推薦須經訓練管理委員會通過。。本文件功能為「甄選與採購文件」，不以索引或通用摘要代替正文。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OFR-057-D02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指標12／第4頁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Do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官方編號：OFR-057　｜　官方方框文字：依學員遴選標準及流程遴選，教材由講師及顧問推薦須經訓練管理委員會通過。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本文件以「甄選與採購文件」格式完整回應本項官方要求，並說明作業、判斷、資料來源與正式採用條件。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需求規格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本文件提供師資或供應者評選方法與擬真算分示例。代碼與分數不代表實際人選、資格、評選會、聘任、採購或支出。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資格門檻</w:t>
      </w:r>
    </w:p>
    <w:p>
      <w:r>
        <w:rPr>
          <w:rFonts w:ascii="Microsoft JhengHei" w:hAnsi="Microsoft JhengHei" w:eastAsia="Microsoft JhengHei"/>
          <w:color w:val="000000"/>
          <w:sz w:val="21"/>
        </w:rPr>
        <w:t>需求規格先連到課程目標及非醫療範圍；資格條件應能以原始證件或作品核實，並避免設定不必要或排除性門檻。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評選權重</w:t>
      </w:r>
    </w:p>
    <w:p>
      <w:r>
        <w:rPr>
          <w:rFonts w:ascii="Microsoft JhengHei" w:hAnsi="Microsoft JhengHei" w:eastAsia="Microsoft JhengHei"/>
          <w:color w:val="000000"/>
          <w:sz w:val="21"/>
        </w:rPr>
        <w:t>評選前核對審查者利益衝突、個資存取與資料保存。評分指標、權重及合格門檻須在收到提案前經核定，過程中不可為特定人選改標準。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擬真評選比較表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5"/>
        <w:gridCol w:w="1635"/>
        <w:gridCol w:w="1635"/>
        <w:gridCol w:w="1635"/>
        <w:gridCol w:w="1635"/>
        <w:gridCol w:w="1635"/>
      </w:tblGrid>
      <w:tr>
        <w:trPr>
          <w:tblHeader w:val="true"/>
        </w:trPr>
        <w:tc>
          <w:tcPr>
            <w:tcW w:type="dxa" w:w="1635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候選代碼</w:t>
            </w:r>
          </w:p>
        </w:tc>
        <w:tc>
          <w:tcPr>
            <w:tcW w:type="dxa" w:w="1635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目標切合／30</w:t>
            </w:r>
          </w:p>
        </w:tc>
        <w:tc>
          <w:tcPr>
            <w:tcW w:type="dxa" w:w="1635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教學設計／30</w:t>
            </w:r>
          </w:p>
        </w:tc>
        <w:tc>
          <w:tcPr>
            <w:tcW w:type="dxa" w:w="1635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安全界線／20</w:t>
            </w:r>
          </w:p>
        </w:tc>
        <w:tc>
          <w:tcPr>
            <w:tcW w:type="dxa" w:w="1635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可行性／20</w:t>
            </w:r>
          </w:p>
        </w:tc>
        <w:tc>
          <w:tcPr>
            <w:tcW w:type="dxa" w:w="1635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總分／100</w:t>
            </w:r>
          </w:p>
        </w:tc>
      </w:tr>
      <w:tr>
        <w:trPr>
          <w:cantSplit/>
        </w:trPr>
        <w:tc>
          <w:tcPr>
            <w:tcW w:type="dxa" w:w="16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SIM-T01</w:t>
            </w:r>
          </w:p>
        </w:tc>
        <w:tc>
          <w:tcPr>
            <w:tcW w:type="dxa" w:w="16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27</w:t>
            </w:r>
          </w:p>
        </w:tc>
        <w:tc>
          <w:tcPr>
            <w:tcW w:type="dxa" w:w="16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24</w:t>
            </w:r>
          </w:p>
        </w:tc>
        <w:tc>
          <w:tcPr>
            <w:tcW w:type="dxa" w:w="16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18</w:t>
            </w:r>
          </w:p>
        </w:tc>
        <w:tc>
          <w:tcPr>
            <w:tcW w:type="dxa" w:w="16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16</w:t>
            </w:r>
          </w:p>
        </w:tc>
        <w:tc>
          <w:tcPr>
            <w:tcW w:type="dxa" w:w="16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85</w:t>
            </w:r>
          </w:p>
        </w:tc>
      </w:tr>
      <w:tr>
        <w:trPr>
          <w:cantSplit/>
        </w:trPr>
        <w:tc>
          <w:tcPr>
            <w:tcW w:type="dxa" w:w="1635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SIM-T02</w:t>
            </w:r>
          </w:p>
        </w:tc>
        <w:tc>
          <w:tcPr>
            <w:tcW w:type="dxa" w:w="1635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24</w:t>
            </w:r>
          </w:p>
        </w:tc>
        <w:tc>
          <w:tcPr>
            <w:tcW w:type="dxa" w:w="1635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27</w:t>
            </w:r>
          </w:p>
        </w:tc>
        <w:tc>
          <w:tcPr>
            <w:tcW w:type="dxa" w:w="1635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15</w:t>
            </w:r>
          </w:p>
        </w:tc>
        <w:tc>
          <w:tcPr>
            <w:tcW w:type="dxa" w:w="1635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18</w:t>
            </w:r>
          </w:p>
        </w:tc>
        <w:tc>
          <w:tcPr>
            <w:tcW w:type="dxa" w:w="1635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84</w:t>
            </w:r>
          </w:p>
        </w:tc>
      </w:tr>
      <w:tr>
        <w:trPr>
          <w:cantSplit/>
        </w:trPr>
        <w:tc>
          <w:tcPr>
            <w:tcW w:type="dxa" w:w="16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SIM-T03</w:t>
            </w:r>
          </w:p>
        </w:tc>
        <w:tc>
          <w:tcPr>
            <w:tcW w:type="dxa" w:w="16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21</w:t>
            </w:r>
          </w:p>
        </w:tc>
        <w:tc>
          <w:tcPr>
            <w:tcW w:type="dxa" w:w="16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21</w:t>
            </w:r>
          </w:p>
        </w:tc>
        <w:tc>
          <w:tcPr>
            <w:tcW w:type="dxa" w:w="16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</w:t>
            </w:r>
          </w:p>
        </w:tc>
        <w:tc>
          <w:tcPr>
            <w:tcW w:type="dxa" w:w="16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14</w:t>
            </w:r>
          </w:p>
        </w:tc>
        <w:tc>
          <w:tcPr>
            <w:tcW w:type="dxa" w:w="16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76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利益衝突檢核</w:t>
      </w:r>
    </w:p>
    <w:p>
      <w:r>
        <w:rPr>
          <w:rFonts w:ascii="Microsoft JhengHei" w:hAnsi="Microsoft JhengHei" w:eastAsia="Microsoft JhengHei"/>
          <w:color w:val="000000"/>
          <w:sz w:val="21"/>
        </w:rPr>
        <w:t>比較資料需列明來源、取得日期、缺件與可驗證狀態。不能把自述簡歷當成已核實資格，也不能用擬真評分取代正式審查。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比較與判定</w:t>
      </w:r>
    </w:p>
    <w:p>
      <w:r>
        <w:rPr>
          <w:rFonts w:ascii="Microsoft JhengHei" w:hAnsi="Microsoft JhengHei" w:eastAsia="Microsoft JhengHei"/>
          <w:color w:val="000000"/>
          <w:sz w:val="21"/>
        </w:rPr>
        <w:t>結果由計算公式重算，並記錄排序、分歧、未達門檻及補件機會。擬真排序僅供檢查表單，不選定實際人員。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議決及採購流程</w:t>
      </w:r>
    </w:p>
    <w:p>
      <w:r>
        <w:rPr>
          <w:rFonts w:ascii="Microsoft JhengHei" w:hAnsi="Microsoft JhengHei" w:eastAsia="Microsoft JhengHei"/>
          <w:color w:val="000000"/>
          <w:sz w:val="21"/>
        </w:rPr>
        <w:t>涉及費用、聘任或採購時須依協會財務及核定程序辦理。採購決定、契約與付款憑證均待取得，不在本稿中虛構。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契約與履約監督</w:t>
      </w:r>
    </w:p>
    <w:p>
      <w:r>
        <w:rPr>
          <w:rFonts w:ascii="Microsoft JhengHei" w:hAnsi="Microsoft JhengHei" w:eastAsia="Microsoft JhengHei"/>
          <w:color w:val="000000"/>
          <w:sz w:val="21"/>
        </w:rPr>
        <w:t>契約應說明交付、期限、品質、個資、取消、付款與驗收方式；簽約權責及支出額需實際核定後填列。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紀錄保存</w:t>
      </w:r>
    </w:p>
    <w:p>
      <w:r>
        <w:rPr>
          <w:rFonts w:ascii="Microsoft JhengHei" w:hAnsi="Microsoft JhengHei" w:eastAsia="Microsoft JhengHei"/>
          <w:color w:val="000000"/>
          <w:sz w:val="21"/>
        </w:rPr>
        <w:t>履約後核對成果與契約，記錄缺失、修正及結案。未實際採購時不得產生履約成績或滿意度。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模擬師資評選分數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SIM-T01：27／30、24／30、18／20、16／20，合計85／100；SIM-T02：24／30、27／30、15／20、18／20，合計84／100；SIM-T03：21／30、21／30、20／20、14／20，合計76／100。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實際資格文件、利益衝突檢核、評選紀錄及聘任核定。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現行原件9頁；本項第4頁；控制文件逐框來源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指標12.docx；Drive ID 1i7Dpa2nugFMzsDimiB60Ym9aaYaOBkNY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衛福部中醫藥司《民俗調理業相關現行規範》https://dep.mohw.gov.tw/DOCMAP/cp-4388-39600-108.html；《民俗調理人員訓練課程申辦注意事項》https://dep.mohw.gov.tw/DOCMAP/cp-4386-83713-108.html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官方頁於2026年查閱；申辦、資格與範圍依當期原件核對；未取得核准仍標待取得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OFR-057-D02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