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HUMAN_DECISION_DRAFT</w:t>
      </w:r>
    </w:p>
    <w:p>
      <w:r>
        <w:rPr>
          <w:rFonts w:ascii="Microsoft JhengHei" w:hAnsi="Microsoft JhengHei" w:eastAsia="Microsoft JhengHei"/>
          <w:color w:val="000000"/>
          <w:sz w:val="22"/>
        </w:rPr>
        <w:t>人類決策草案：提供 2 至 3 個可行方案，明確選出建議案並完整撰寫；保留人工核定欄。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人類決策草案｜待協會審議；尚未核定或生效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OFR-062-D03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指標13／第4頁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Do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人類決策草案｜待協會審議；尚未核定或生效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官方編號：OFR-062　｜　官方方框文字：具體明確紀錄展現提供受訓人員或客戶，如：課程所學運用於工作，以強化職能建立的建議或協助提供行動計畫，展現適當的競賽獎勵措施，促進訓練達個人、小組團隊及組織績效改善的成果。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本文件以「HUMAN_DECISION_DRAFT」格式完整回應本項官方要求，並說明作業、判斷、資料來源與正式採用條件。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目前決策題目</w:t>
      </w:r>
    </w:p>
    <w:p>
      <w:r>
        <w:rPr>
          <w:rFonts w:ascii="Microsoft JhengHei" w:hAnsi="Microsoft JhengHei" w:eastAsia="Microsoft JhengHei"/>
          <w:color w:val="000000"/>
          <w:sz w:val="21"/>
        </w:rPr>
        <w:t>決策題目：如何以可驗證、低行政負擔的方式回應「具體明確紀錄展現提供受訓人員或客戶，如：課程所學運用於工作，以強化職能建立的建議或協助提供行動計畫，展現適當的競賽獎勵措施，促進訓練達個人、小組團隊及組織績效改善的成果。」。此文件提供建議草案，未經協會審議，不構成聘任、支出、課程核定或正式承諾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方案A及成本／風險</w:t>
      </w:r>
    </w:p>
    <w:p>
      <w:r>
        <w:rPr>
          <w:rFonts w:ascii="Microsoft JhengHei" w:hAnsi="Microsoft JhengHei" w:eastAsia="Microsoft JhengHei"/>
          <w:color w:val="000000"/>
          <w:sz w:val="21"/>
        </w:rPr>
        <w:t>方案A｜限縮範圍：先只處理健康教育及非醫療服務安全的核心需求，使用既有可核實資料。優點是資源需求低、容易維持；限制是延伸需求暫緩，須在後續調查時重新檢視。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方案B及成本／風險</w:t>
      </w:r>
    </w:p>
    <w:p>
      <w:r>
        <w:rPr>
          <w:rFonts w:ascii="Microsoft JhengHei" w:hAnsi="Microsoft JhengHei" w:eastAsia="Microsoft JhengHei"/>
          <w:color w:val="000000"/>
          <w:sz w:val="21"/>
        </w:rPr>
        <w:t>方案B｜模組化發展（建議）：先核對法規與市場資料，再建立可獨立審查的短模組；每一模組分別審查目標、師資、教材、場地、評量與成本。建議理由是保留多元發展空間，同時避免未核定課程一次擴張。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方案C或不採行條件</w:t>
      </w:r>
    </w:p>
    <w:p>
      <w:r>
        <w:rPr>
          <w:rFonts w:ascii="Microsoft JhengHei" w:hAnsi="Microsoft JhengHei" w:eastAsia="Microsoft JhengHei"/>
          <w:color w:val="000000"/>
          <w:sz w:val="21"/>
        </w:rPr>
        <w:t>方案C｜暫緩：在實際需求、權責、師資或安全原件不足時，暫不承諾執行。此方案可避免錯誤發布，但需設定下一次檢視條件，避免草案永久擱置。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建議案完整正文</w:t>
      </w:r>
    </w:p>
    <w:p>
      <w:r>
        <w:rPr>
          <w:rFonts w:ascii="Microsoft JhengHei" w:hAnsi="Microsoft JhengHei" w:eastAsia="Microsoft JhengHei"/>
          <w:color w:val="000000"/>
          <w:sz w:val="21"/>
        </w:rPr>
        <w:t>建議案採B的條件式方式；任何課程發布、外部申辦、聘任及支出均需另依協會權責和主管機關程序核定。不得以本文件推定已通過。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核定前執行限制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核定紀錄欄應由協會實際權責者填入決議、日期、文號、附帶條件與反對意見；本稿留空並標記待核定。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本文件是供協會審議的決策草案。核定者、日期、文號、簽章、生效與發布狀態均未取得；協會完成正式程序前不得稱為已核定或已執行。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現行原件9頁；本項第4頁；控制文件逐框來源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非醫療與申辦參考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衛福部中醫藥司《民俗調理業相關現行規範》https://dep.mohw.gov.tw/DOCMAP/cp-4388-39600-108.html；《民俗調理人員訓練課程申辦注意事項》https://dep.mohw.gov.tw/DOCMAP/cp-4386-83713-108.html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官方頁於2026年查閱；申辦、資格與範圍依當期原件核對；未取得核准仍標待取得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OFR-062-D03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