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HUMAN_DECISION_DRAFT</w:t>
      </w:r>
    </w:p>
    <w:p>
      <w:r>
        <w:rPr>
          <w:rFonts w:ascii="Microsoft JhengHei" w:hAnsi="Microsoft JhengHei" w:eastAsia="Microsoft JhengHei"/>
          <w:color w:val="000000"/>
          <w:sz w:val="22"/>
        </w:rPr>
        <w:t>人類決策草案：提供 2 至 3 個可行方案，明確選出建議案並完整撰寫；保留人工核定欄。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官方編號：OFR-063　｜　官方方框文字：業主提供回訓或相關機制、學習心得交流的平台、證照、實習或其他相關機制的建議或協助，展現訓練成果轉移的達成並展現連接性執行。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本文件以「HUMAN_DECISION_DRAFT」格式完整回應本項官方要求，並說明作業、判斷、資料來源與正式採用條件。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目前決策題目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題目：如何以可驗證、低行政負擔的方式回應「業主提供回訓或相關機制、學習心得交流的平台、證照、實習或其他相關機制的建議或協助，展現訓練成果轉移的達成並展現連接性執行。」。此文件提供建議草案，未經協會審議，不構成聘任、支出、課程核定或正式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方案A及成本／風險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方案A｜限縮範圍：先只處理健康教育及非醫療服務安全的核心需求，使用既有可核實資料。優點是資源需求低、容易維持；限制是延伸需求暫緩，須在後續調查時重新檢視。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方案B及成本／風險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方案B｜模組化發展（建議）：先核對法規與市場資料，再建立可獨立審查的短模組；每一模組分別審查目標、師資、教材、場地、評量與成本。建議理由是保留多元發展空間，同時避免未核定課程一次擴張。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方案C或不採行條件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方案C｜暫緩：在實際需求、權責、師資或安全原件不足時，暫不承諾執行。此方案可避免錯誤發布，但需設定下一次檢視條件，避免草案永久擱置。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建議案完整正文</w:t>
      </w:r>
    </w:p>
    <w:p>
      <w:r>
        <w:rPr>
          <w:rFonts w:ascii="Microsoft JhengHei" w:hAnsi="Microsoft JhengHei" w:eastAsia="Microsoft JhengHei"/>
          <w:color w:val="000000"/>
          <w:sz w:val="21"/>
        </w:rPr>
        <w:t>建議案採B的條件式方式；任何課程發布、外部申辦、聘任及支出均需另依協會權責和主管機關程序核定。不得以本文件推定已通過。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核定前執行限制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核定紀錄欄應由協會實際權責者填入決議、日期、文號、附帶條件與反對意見；本稿留空並標記待核定。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