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成果評估報告</w:t>
      </w:r>
    </w:p>
    <w:p>
      <w:r>
        <w:rPr>
          <w:rFonts w:ascii="Microsoft JhengHei" w:hAnsi="Microsoft JhengHei" w:eastAsia="Microsoft JhengHei"/>
          <w:color w:val="000000"/>
          <w:sz w:val="22"/>
        </w:rPr>
        <w:t>直接回應官方方框：問卷調查及課後行動計畫評估表等顯示目標客戶及學員認為訓練有績效改善的效果。。本文件功能為「成果評估報告」，不以索引或通用摘要代替正文。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OFR-114-D01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官方編號：OFR-114　｜　官方方框文字：問卷調查及課後行動計畫評估表等顯示目標客戶及學員認為訓練有績效改善的效果。</w:t>
      </w:r>
    </w:p>
    <w:p>
      <w:r>
        <w:rPr>
          <w:rFonts w:ascii="Microsoft JhengHei" w:hAnsi="Microsoft JhengHei" w:eastAsia="Microsoft JhengHei"/>
          <w:color w:val="000000"/>
          <w:sz w:val="21"/>
        </w:rPr>
        <w:t>本文件以「成果評估報告」格式完整回應本項官方要求，並說明作業、判斷、資料來源與正式採用條件。</w:t>
      </w:r>
    </w:p>
    <w:p>
      <w:pPr>
        <w:pStyle w:val="Heading1"/>
      </w:pPr>
      <w:r>
        <w:rPr>
          <w:rFonts w:ascii="Microsoft JhengHei" w:hAnsi="Microsoft JhengHei" w:eastAsia="Microsoft JhengHei"/>
          <w:b/>
          <w:color w:val="000000"/>
          <w:sz w:val="28"/>
        </w:rPr>
        <w:t>1. 組織／工作需求</w:t>
      </w:r>
    </w:p>
    <w:p>
      <w:r>
        <w:rPr>
          <w:rFonts w:ascii="Microsoft JhengHei" w:hAnsi="Microsoft JhengHei" w:eastAsia="Microsoft JhengHei"/>
          <w:color w:val="000000"/>
          <w:sz w:val="21"/>
        </w:rPr>
        <w:t>成果評估連結訓練與工作或組織需求，但必須說明資料來源、觀察期間及可歸因程度。擬真資料不能代表協會已達成成果。</w:t>
      </w:r>
    </w:p>
    <w:p>
      <w:pPr>
        <w:pStyle w:val="Heading1"/>
      </w:pPr>
      <w:r>
        <w:rPr>
          <w:rFonts w:ascii="Microsoft JhengHei" w:hAnsi="Microsoft JhengHei" w:eastAsia="Microsoft JhengHei"/>
          <w:b/>
          <w:color w:val="000000"/>
          <w:sz w:val="28"/>
        </w:rPr>
        <w:t>2. 基線與目標</w:t>
      </w:r>
    </w:p>
    <w:p>
      <w:r>
        <w:rPr>
          <w:rFonts w:ascii="Microsoft JhengHei" w:hAnsi="Microsoft JhengHei" w:eastAsia="Microsoft JhengHei"/>
          <w:color w:val="000000"/>
          <w:sz w:val="21"/>
        </w:rPr>
        <w:t>先定義基線、目標、觀察單位和期間；缺少基線時列為待建立，不用回憶或估計補值。指標須可由原始紀錄重算。</w:t>
      </w:r>
    </w:p>
    <w:p>
      <w:pPr>
        <w:pStyle w:val="Heading1"/>
      </w:pPr>
      <w:r>
        <w:rPr>
          <w:rFonts w:ascii="Microsoft JhengHei" w:hAnsi="Microsoft JhengHei" w:eastAsia="Microsoft JhengHei"/>
          <w:b/>
          <w:color w:val="000000"/>
          <w:sz w:val="28"/>
        </w:rPr>
        <w:t>3. 指標定義及來源</w:t>
      </w:r>
    </w:p>
    <w:p>
      <w:r>
        <w:rPr>
          <w:rFonts w:ascii="Microsoft JhengHei" w:hAnsi="Microsoft JhengHei" w:eastAsia="Microsoft JhengHei"/>
          <w:color w:val="000000"/>
          <w:sz w:val="21"/>
        </w:rPr>
        <w:t>可用學員學習、工作應用、雇主觀察、服務品質及成本等不同層次指標，分開報告，不將課後自評等同組織績效。</w:t>
      </w:r>
    </w:p>
    <w:p>
      <w:pPr>
        <w:keepNext/>
      </w:pPr>
      <w:r>
        <w:rPr>
          <w:rFonts w:ascii="Microsoft JhengHei" w:hAnsi="Microsoft JhengHei" w:eastAsia="Microsoft JhengHei"/>
          <w:b/>
          <w:color w:val="000000"/>
          <w:sz w:val="20"/>
        </w:rPr>
        <w:t>成果指標及證據狀態</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層次</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示例指標</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來源狀態</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正式判讀限制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學習</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前後測平均差 +15.50分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擬真測驗</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只示範計算</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行為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30日4/6回覆者自述嘗試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擬真自陳</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沒有第三方驗證</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工作／組織</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品質、營收、就業等指標</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協會原件待取得</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目前無法判定</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財務</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收支差額 NT$1,000</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擬真預算案例</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非協會營業額或實際收支</w:t>
            </w:r>
          </w:p>
        </w:tc>
      </w:tr>
    </w:tbl>
    <w:p>
      <w:pPr>
        <w:spacing w:after="20"/>
      </w:pPr>
    </w:p>
    <w:p>
      <w:pPr>
        <w:pStyle w:val="Heading1"/>
      </w:pPr>
      <w:r>
        <w:rPr>
          <w:rFonts w:ascii="Microsoft JhengHei" w:hAnsi="Microsoft JhengHei" w:eastAsia="Microsoft JhengHei"/>
          <w:b/>
          <w:color w:val="000000"/>
          <w:sz w:val="28"/>
        </w:rPr>
        <w:t>4. 觀察結果</w:t>
      </w:r>
    </w:p>
    <w:p>
      <w:r>
        <w:rPr>
          <w:rFonts w:ascii="Microsoft JhengHei" w:hAnsi="Microsoft JhengHei" w:eastAsia="Microsoft JhengHei"/>
          <w:color w:val="000000"/>
          <w:sz w:val="21"/>
        </w:rPr>
        <w:t>每筆數據標記來源等級：協會原始資料、學員自陳、雇主或政府第三方文件、外部統計。原件尚未取得者維持待取得。</w:t>
      </w:r>
    </w:p>
    <w:p>
      <w:pPr>
        <w:pStyle w:val="Heading1"/>
      </w:pPr>
      <w:r>
        <w:rPr>
          <w:rFonts w:ascii="Microsoft JhengHei" w:hAnsi="Microsoft JhengHei" w:eastAsia="Microsoft JhengHei"/>
          <w:b/>
          <w:color w:val="000000"/>
          <w:sz w:val="28"/>
        </w:rPr>
        <w:t>5. 外部驗證狀態</w:t>
      </w:r>
    </w:p>
    <w:p>
      <w:r>
        <w:rPr>
          <w:rFonts w:ascii="Microsoft JhengHei" w:hAnsi="Microsoft JhengHei" w:eastAsia="Microsoft JhengHei"/>
          <w:color w:val="000000"/>
          <w:sz w:val="21"/>
        </w:rPr>
        <w:t>即使前後有變化，也需檢查其他因素、樣本流失與觀察期間。沒有比較組或穩定基線時，不宣稱因果。</w:t>
      </w:r>
    </w:p>
    <w:p>
      <w:pPr>
        <w:pStyle w:val="Heading1"/>
      </w:pPr>
      <w:r>
        <w:rPr>
          <w:rFonts w:ascii="Microsoft JhengHei" w:hAnsi="Microsoft JhengHei" w:eastAsia="Microsoft JhengHei"/>
          <w:b/>
          <w:color w:val="000000"/>
          <w:sz w:val="28"/>
        </w:rPr>
        <w:t>6. 歸因限制</w:t>
      </w:r>
    </w:p>
    <w:p>
      <w:r>
        <w:rPr>
          <w:rFonts w:ascii="Microsoft JhengHei" w:hAnsi="Microsoft JhengHei" w:eastAsia="Microsoft JhengHei"/>
          <w:color w:val="000000"/>
          <w:sz w:val="21"/>
        </w:rPr>
        <w:t>擬真案例僅有評量與追蹤示例；雇主、服務品質、營收及就業成果均無可用協會原件，故正式結論尚不能成立。</w:t>
      </w:r>
    </w:p>
    <w:p>
      <w:pPr>
        <w:pStyle w:val="Heading1"/>
      </w:pPr>
      <w:r>
        <w:rPr>
          <w:rFonts w:ascii="Microsoft JhengHei" w:hAnsi="Microsoft JhengHei" w:eastAsia="Microsoft JhengHei"/>
          <w:b/>
          <w:color w:val="000000"/>
          <w:sz w:val="28"/>
        </w:rPr>
        <w:t>7. 改善與再測</w:t>
      </w:r>
    </w:p>
    <w:p>
      <w:r>
        <w:rPr>
          <w:rFonts w:ascii="Microsoft JhengHei" w:hAnsi="Microsoft JhengHei" w:eastAsia="Microsoft JhengHei"/>
          <w:color w:val="000000"/>
          <w:sz w:val="21"/>
        </w:rPr>
        <w:t>後續依真實來源更新母表、重算分子分母、覆核附件與限制，再由協會決定是否採用改善方案。</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SYN-013</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模擬完訓人數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8位到課者中7位；10位報名者中7位</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核定完訓規則及實際簽到評量。</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模擬後測分數</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SIM01=78、SIM02=72、SIM03=85、SIM04=82、SIM05=70、SIM06=88、SIM07=74、SIM08=65；平均76.75分；平均增加15.50分</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匿名化原始後測卷、配對及計分底稿。</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SYN-016</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模擬實作結果</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6位達標、1位待補救、1位未完成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核定評量量規、評分者紀錄與補救／再測資料。</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SYN-026</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模擬30日追蹤</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聯繫7位完訓者；6份回覆；其中4位自述嘗試一項學習行動、2位尚未嘗試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實際同意名單、聯繫紀錄及追蹤回覆。</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SYN-027</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模擬60日追蹤</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聯繫7位完訓者；5份回覆；3位自述重複使用、2位自述使用一次</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實際同意名單、追蹤回覆及第三方授權原件。</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現行原件9頁；本項第7頁；控制文件逐框來源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OFR-114-D01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