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完整示範填寫版</w:t>
      </w:r>
    </w:p>
    <w:p>
      <w:r>
        <w:rPr>
          <w:rFonts w:ascii="Microsoft JhengHei" w:hAnsi="Microsoft JhengHei" w:eastAsia="Microsoft JhengHei"/>
          <w:color w:val="000000"/>
          <w:sz w:val="22"/>
        </w:rPr>
        <w:t>直接回應官方方框：問卷調查及課後行動計畫評估表等顯示目標客戶及學員認為訓練有績效改善的效果。。本文件功能為「完整示範填寫版」，不以索引或通用摘要代替正文。</w:t>
      </w:r>
    </w:p>
    <w:p>
      <w:r>
        <w:rPr>
          <w:rFonts w:ascii="Microsoft JhengHei" w:hAnsi="Microsoft JhengHei" w:eastAsia="Microsoft JhengHei"/>
          <w:b/>
          <w:color w:val="000000"/>
          <w:sz w:val="20"/>
        </w:rPr>
        <w:t>完整擬真工作稿｜數值與案例均非協會實績，待人工核實</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OFR-114-D03</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指標18／第7頁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完整擬真工作稿｜數值與案例均非協會實績，待人工核實</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官方編號：OFR-114　｜　官方方框文字：問卷調查及課後行動計畫評估表等顯示目標客戶及學員認為訓練有績效改善的效果。</w:t>
      </w:r>
    </w:p>
    <w:p>
      <w:r>
        <w:rPr>
          <w:rFonts w:ascii="Microsoft JhengHei" w:hAnsi="Microsoft JhengHei" w:eastAsia="Microsoft JhengHei"/>
          <w:color w:val="000000"/>
          <w:sz w:val="21"/>
        </w:rPr>
        <w:t>本文件以「完整示範填寫版」格式完整回應本項官方要求，並說明作業、判斷、資料來源與正式採用條件。</w:t>
      </w:r>
    </w:p>
    <w:p>
      <w:pPr>
        <w:pStyle w:val="Heading1"/>
      </w:pPr>
      <w:r>
        <w:rPr>
          <w:rFonts w:ascii="Microsoft JhengHei" w:hAnsi="Microsoft JhengHei" w:eastAsia="Microsoft JhengHei"/>
          <w:b/>
          <w:color w:val="000000"/>
          <w:sz w:val="28"/>
        </w:rPr>
        <w:t>1. 案例背景</w:t>
      </w:r>
    </w:p>
    <w:p>
      <w:r>
        <w:rPr>
          <w:rFonts w:ascii="Microsoft JhengHei" w:hAnsi="Microsoft JhengHei" w:eastAsia="Microsoft JhengHei"/>
          <w:color w:val="000000"/>
          <w:sz w:val="21"/>
        </w:rPr>
        <w:t>本文件示範如何把表單逐欄填完整。案例採 SIM-2026-001 擬真課程；沒有協會實際學員、簽到、收支、核定或成果。</w:t>
      </w:r>
    </w:p>
    <w:p>
      <w:pPr>
        <w:pStyle w:val="Heading1"/>
      </w:pPr>
      <w:r>
        <w:rPr>
          <w:rFonts w:ascii="Microsoft JhengHei" w:hAnsi="Microsoft JhengHei" w:eastAsia="Microsoft JhengHei"/>
          <w:b/>
          <w:color w:val="000000"/>
          <w:sz w:val="28"/>
        </w:rPr>
        <w:t>2. 逐欄完整填寫</w:t>
      </w:r>
    </w:p>
    <w:p>
      <w:r>
        <w:rPr>
          <w:rFonts w:ascii="Microsoft JhengHei" w:hAnsi="Microsoft JhengHei" w:eastAsia="Microsoft JhengHei"/>
          <w:color w:val="000000"/>
          <w:sz w:val="21"/>
        </w:rPr>
        <w:t>依欄位順序填入課程代碼、期間、匿名代碼、資料來源、結果與附件編號。欄位空間若不敷使用，應以附頁編號連結，不刪減證據。</w:t>
      </w:r>
    </w:p>
    <w:p>
      <w:pPr>
        <w:pStyle w:val="Heading1"/>
      </w:pPr>
      <w:r>
        <w:rPr>
          <w:rFonts w:ascii="Microsoft JhengHei" w:hAnsi="Microsoft JhengHei" w:eastAsia="Microsoft JhengHei"/>
          <w:b/>
          <w:color w:val="000000"/>
          <w:sz w:val="28"/>
        </w:rPr>
        <w:t>3. 判讀與決策</w:t>
      </w:r>
    </w:p>
    <w:p>
      <w:r>
        <w:rPr>
          <w:rFonts w:ascii="Microsoft JhengHei" w:hAnsi="Microsoft JhengHei" w:eastAsia="Microsoft JhengHei"/>
          <w:color w:val="000000"/>
          <w:sz w:val="21"/>
        </w:rPr>
        <w:t>範例結果須能由母表重算。若示範欄位使用不同分母或量尺，需在欄位旁說明；此示例不提供正式規則。</w:t>
      </w:r>
    </w:p>
    <w:p>
      <w:pPr>
        <w:pStyle w:val="Heading1"/>
      </w:pPr>
      <w:r>
        <w:rPr>
          <w:rFonts w:ascii="Microsoft JhengHei" w:hAnsi="Microsoft JhengHei" w:eastAsia="Microsoft JhengHei"/>
          <w:b/>
          <w:color w:val="000000"/>
          <w:sz w:val="28"/>
        </w:rPr>
        <w:t>4. 覆核與限制</w:t>
      </w:r>
    </w:p>
    <w:p>
      <w:r>
        <w:rPr>
          <w:rFonts w:ascii="Microsoft JhengHei" w:hAnsi="Microsoft JhengHei" w:eastAsia="Microsoft JhengHei"/>
          <w:color w:val="000000"/>
          <w:sz w:val="21"/>
        </w:rPr>
        <w:t>審查者要核對來源可讀性、匿名化、公式與官方要求對應，並將推論與原始事實分開。任何正式結論仍要由協會人員驗證。</w:t>
      </w:r>
    </w:p>
    <w:p>
      <w:pPr>
        <w:pStyle w:val="Heading1"/>
      </w:pPr>
      <w:r>
        <w:rPr>
          <w:rFonts w:ascii="Microsoft JhengHei" w:hAnsi="Microsoft JhengHei" w:eastAsia="Microsoft JhengHei"/>
          <w:b/>
          <w:color w:val="000000"/>
          <w:sz w:val="28"/>
        </w:rPr>
        <w:t>5. 如何替換為真實資料</w:t>
      </w:r>
    </w:p>
    <w:p>
      <w:r>
        <w:rPr>
          <w:rFonts w:ascii="Microsoft JhengHei" w:hAnsi="Microsoft JhengHei" w:eastAsia="Microsoft JhengHei"/>
          <w:color w:val="000000"/>
          <w:sz w:val="21"/>
        </w:rPr>
        <w:t>轉成真實使用時，先保存原始表單，再把匿名代碼連回受控名冊；替換示例值並更新來源登錄、版本及核定狀態。</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本文件是完整擬真工作稿。凡標示 SIM、匿名代碼、日期、人數、分數、費用、回饋、會議或測試結果，均來自擬真情境母表；不能作協會現況、實際核定、開班或成果證明。</w:t>
      </w:r>
    </w:p>
    <w:p>
      <w:pPr>
        <w:keepNext/>
      </w:pPr>
      <w:r>
        <w:rPr>
          <w:rFonts w:ascii="Microsoft JhengHei" w:hAnsi="Microsoft JhengHei" w:eastAsia="Microsoft JhengHei"/>
          <w:b/>
          <w:color w:val="000000"/>
          <w:sz w:val="20"/>
        </w:rPr>
        <w:t>本文件引用的擬真資料索引</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資料ID</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擬真值</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正式替換來源</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SYN-002</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情境課程代碼</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SIM-2026-001（模擬）</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協會核定課程清冊及實際班級編號。</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SYN-003</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情境課程名稱</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健康教育與民俗調理非醫療服務安全工作坊（模擬）</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實際核定課程名稱與課程文件。</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SYN-004</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情境日期</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2026年6月13日、6月20日（模擬）</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實際核准課表、簽到與課程紀錄。</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SYN-005</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情境總時數</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12小時（2次×每次6小時）</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核定課表與實際授課紀錄。</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SYN-009</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模擬到課人數</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8人（匿名代碼）</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實際簽到、補登與出席原件。</w:t>
            </w:r>
          </w:p>
        </w:tc>
      </w:tr>
    </w:tbl>
    <w:p>
      <w:pPr>
        <w:spacing w:after="20"/>
      </w:pP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 (2) (1).pdf；Drive ID 1y1LUfR_TfePtO_2BOTXGJfmAODYkqXWB；SHA-256 805386B77DF045B396FABAFED7A47D12491C25A0B5744EDD9A04876CAEE34709</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現行原件9頁；本項第7頁；控制文件逐框來源</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TTQS人才發展品質管理評核表-訓練機構版.pdf；Drive ID 1BnuEmuubS8DOipnppAvaVicfF6XSOaC5</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依現行評核表對照指標12、17子項；指標18、19分數層級只作參考例示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本次人類任務指示（USER_PROVIDED）</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 MAC 指標19 19-01/19-02 historical DOCX</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已讀；只供結構或修訂沿革參考，不作協會現況、核定或成果證據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OFR-114-D03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