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市場與顧客價值成果報告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直接回應官方方框：有量化之效益可呈現目標市場及顧客價值均有一定程度提升的效果。。本文件功能為「市場與顧客價值成果報告」，不以索引或通用摘要代替正文。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OFR-140-D01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官方編號：OFR-140　｜　官方方框文字：有量化之效益可呈現目標市場及顧客價值均有一定程度提升的效果。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本文件以「市場與顧客價值成果報告」格式完整回應本項官方要求，並說明作業、判斷、資料來源與正式採用條件。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目標市場界定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市場價值檢視課程是否回應目標市場需求，以及協會是否有可持續的服務模式。沒有實際招生與經營原件時，不宣稱市場成果或營收成長。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價值主張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市場範圍須明確界定地區、對象、期間與資料來源。擬真問卷不代表全縣需求或市場占有率。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市場觸及與需求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價值主張需回應健康教育及非醫療服務安全的核心，同時將延伸課程留給實際需求與能力評估。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市場需求與價值指標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維度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示例／指標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分母或來源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正式化條件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健康教育與非醫療安全主題興趣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擬真多選 n=20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真實問卷及樣本限制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參與可行性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時段、長度與價格區間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擬真調查各題 n=20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成本與實際報名資料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服務漏斗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接觸→詢問→報名→出席→完成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同一期間原始記錄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市場價值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營收、就業、公益、合作成果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第三方／財務原件待取得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核實來源後再計算趨勢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顧客價值證據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漏斗分開顯示接觸、詢問、意願、報名、出席、完成與後續使用；每一段都要有可核實的分子分母。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營運及社會成果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顧客價值可從學習、可近性、使用者回饋與服務持續性觀察，並標記自陳或第三方來源。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第三方核實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社會參與、獲獎、產學合作及媒體報導只有取得原始證明後才能納入。本次可讀範圍尚無協會原件可支撐相關成果。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趨勢與限制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年度比較要保持會計口徑、課程定義及期間一致。任何成長敘述都要連結帳冊、核定報表或其他可查來源。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後續決策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下一輪決策先確認資料取得能力和法規要求，再判定是否持續、修訂或擴充服務。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模擬受訪者類別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在職服務人員8人；初入行者5人；社區志工4人；轉職／進修者3人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實際問卷受訪者分類與匿名化底稿。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現行原件9頁；本項第8頁；控制文件逐框來源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《社會團體財務處理辦法》官方法規頁 https://law.moj.gov.tw/LawClass/LawAll.aspx?pcode=D0050097；協會原始帳冊、憑證、近三年收入及核定報表：NONE_FOUND_AFTER_SEARCH（限已查閱可讀範圍）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官方法規頁作保存原則參考；協會實際財務原件待取得，不推定未讀取位置不存在；案例數字均為模擬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OFR-140-D01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