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成果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市場競爭力、營業額、工作流程、成本控制或客訴率等營運表現（財務面）。。本文件功能為「成果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2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2　｜　官方方框文字：提出市場競爭力、營業額、工作流程、成本控制或客訴率等營運表現（財務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成果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組織／工作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成果評估連結訓練與工作或組織需求，但必須說明資料來源、觀察期間及可歸因程度。擬真資料不能代表協會已達成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線與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基線、目標、觀察單位和期間；缺少基線時列為待建立，不用回憶或估計補值。指標須可由原始紀錄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指標定義及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可用學員學習、工作應用、雇主觀察、服務品質及成本等不同層次指標，分開報告，不將課後自評等同組織績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成果指標及證據狀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判讀限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平均差 +15.50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測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只示範計算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日4/6回覆者自述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自陳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沒有第三方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／組織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、營收、就業等指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支差額 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預算案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協會營業額或實際收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觀察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每筆數據標記來源等級：協會原始資料、學員自陳、雇主或政府第三方文件、外部統計。原件尚未取得者維持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外部驗證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即使前後有變化，也需檢查其他因素、樣本流失與觀察期間。沒有比較組或穩定基線時，不宣稱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歸因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僅有評量與追蹤示例；雇主、服務品質、營收及就業成果均無可用協會原件，故正式結論尚不能成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依真實來源更新母表、重算分子分母、覆核附件與限制，再由協會決定是否採用改善方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2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