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本項官方方框為「提出市場競爭力、營業額、工作流程、成本控制或客訴率等營運表現（財務面）。」。正式用途是取得能直接證明該內容的原始文件。現有檢索未讀到可用原件，本件僅為索取與驗證作業包。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主旨：敬請提供「提出市場競爭力、營業額、工作流程、成本控制或客訴率等營運表現（財務面）。」相關正式文件，以供本會核對人才發展品質管理佐證。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