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市場與顧客價值成果報告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直接回應官方方框：學員證照通過、就業率高。。本文件功能為「市場與顧客價值成果報告」，不以索引或通用摘要代替正文。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OFR-144-D01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官方編號：OFR-144　｜　官方方框文字：學員證照通過、就業率高。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本文件以「市場與顧客價值成果報告」格式完整回應本項官方要求，並說明作業、判斷、資料來源與正式採用條件。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目標市場界定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市場價值檢視課程是否回應目標市場需求，以及協會是否有可持續的服務模式。沒有實際招生與經營原件時，不宣稱市場成果或營收成長。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市場範圍須明確界定地區、對象、期間與資料來源。擬真問卷不代表全縣需求或市場占有率。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市場觸及與需求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價值主張需回應健康教育及非醫療服務安全的核心，同時將延伸課程留給實際需求與能力評估。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市場需求與價值指標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維度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示例／指標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分母或來源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正式化條件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核心需求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健康教育與非醫療安全主題興趣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擬真多選 n=20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真實問卷及樣本限制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參與可行性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時段、長度與價格區間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擬真調查各題 n=20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成本與實際報名資料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服務漏斗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接觸→詢問→報名→出席→完成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同一期間原始記錄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市場價值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營收、就業、公益、合作成果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第三方／財務原件待取得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核實來源後再計算趨勢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顧客價值證據</w:t>
      </w:r>
    </w:p>
    <w:p>
      <w:r>
        <w:rPr>
          <w:rFonts w:ascii="Microsoft JhengHei" w:hAnsi="Microsoft JhengHei" w:eastAsia="Microsoft JhengHei"/>
          <w:color w:val="000000"/>
          <w:sz w:val="21"/>
        </w:rPr>
        <w:t>漏斗分開顯示接觸、詢問、意願、報名、出席、完成與後續使用；每一段都要有可核實的分子分母。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營運及社會成果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顧客價值可從學習、可近性、使用者回饋與服務持續性觀察，並標記自陳或第三方來源。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第三方核實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社會參與、獲獎、產學合作及媒體報導只有取得原始證明後才能納入。本次可讀範圍尚無協會原件可支撐相關成果。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趨勢與限制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年度比較要保持會計口徑、課程定義及期間一致。任何成長敘述都要連結帳冊、核定報表或其他可查來源。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後續決策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下一輪決策先確認資料取得能力和法規要求，再判定是否持續、修訂或擴充服務。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模擬受訪者類別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在職服務人員8人；初入行者5人；社區志工4人；轉職／進修者3人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實際問卷受訪者分類與匿名化底稿。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財務來源原則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《社會團體財務處理辦法》官方法規頁 https://law.moj.gov.tw/LawClass/LawAll.aspx?pcode=D0050097；協會原始帳冊、憑證、近三年收入及核定報表：NONE_FOUND_AFTER_SEARCH（限已查閱可讀範圍）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官方法規頁作保存原則參考；協會實際財務原件待取得，不推定未讀取位置不存在；案例數字均為模擬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OFR-144-D01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