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中長程策略地圖</w:t>
      </w:r>
    </w:p>
    <w:p>
      <w:r>
        <w:rPr>
          <w:rFonts w:ascii="Microsoft JhengHei" w:hAnsi="Microsoft JhengHei" w:eastAsia="Microsoft JhengHei"/>
          <w:color w:val="000000"/>
          <w:sz w:val="22"/>
        </w:rPr>
        <w:t>直接回應官方方框：中長程的業務發展規劃策略地圖。（p.13；OOO手冊中第O頁；官網首頁）。本文件功能為「中長程策略地圖」，不以索引或通用摘要代替正文。</w:t>
      </w:r>
    </w:p>
    <w:p>
      <w:r>
        <w:rPr>
          <w:rFonts w:ascii="Microsoft JhengHei" w:hAnsi="Microsoft JhengHei" w:eastAsia="Microsoft JhengHei"/>
          <w:b/>
          <w:color w:val="000000"/>
          <w:sz w:val="20"/>
        </w:rPr>
        <w:t>完整擬真工作稿｜數值與案例均非協會實績，待人工核實</w:t>
      </w:r>
      <w:r>
        <w:rPr>
          <w:rFonts w:ascii="Microsoft JhengHei" w:hAnsi="Microsoft JhengHei" w:eastAsia="Microsoft JhengHei"/>
          <w:color w:val="000000"/>
          <w:sz w:val="20"/>
        </w:rPr>
      </w:r>
    </w:p>
    <w:p>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OFR-001-D01</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指標1／第1頁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Plan</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完整擬真工作稿｜數值與案例均非協會實績，待人工核實</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官方編號：OFR-001　｜　官方方框文字：中長程的業務發展規劃策略地圖。（p.13；OOO手冊中第O頁；官網首頁）</w:t>
      </w:r>
    </w:p>
    <w:p>
      <w:r>
        <w:rPr>
          <w:rFonts w:ascii="Microsoft JhengHei" w:hAnsi="Microsoft JhengHei" w:eastAsia="Microsoft JhengHei"/>
          <w:color w:val="000000"/>
          <w:sz w:val="21"/>
        </w:rPr>
        <w:t>本策略地圖用條件式路徑說明協會可如何從需求查證走到課程試辦與年度檢討，並保留依市場需求發展多元課程的空間。</w:t>
      </w:r>
    </w:p>
    <w:p>
      <w:pPr>
        <w:pStyle w:val="Heading1"/>
      </w:pPr>
      <w:r>
        <w:rPr>
          <w:rFonts w:ascii="Microsoft JhengHei" w:hAnsi="Microsoft JhengHei" w:eastAsia="Microsoft JhengHei"/>
          <w:b/>
          <w:color w:val="000000"/>
          <w:sz w:val="28"/>
        </w:rPr>
        <w:t>1. 使命與定位</w:t>
      </w:r>
    </w:p>
    <w:p>
      <w:r>
        <w:rPr>
          <w:rFonts w:ascii="Microsoft JhengHei" w:hAnsi="Microsoft JhengHei" w:eastAsia="Microsoft JhengHei"/>
          <w:color w:val="000000"/>
          <w:sz w:val="21"/>
        </w:rPr>
        <w:t>協會定位依本次指示以健康教育及傳統整復推拿技術為核心。訓練服務以教育、知識與非醫療服務安全為範圍；本文件提供中長程方向草案，不代表已經理監事會核定。</w:t>
      </w:r>
    </w:p>
    <w:p>
      <w:pPr>
        <w:pStyle w:val="Heading1"/>
      </w:pPr>
      <w:r>
        <w:rPr>
          <w:rFonts w:ascii="Microsoft JhengHei" w:hAnsi="Microsoft JhengHei" w:eastAsia="Microsoft JhengHei"/>
          <w:b/>
          <w:color w:val="000000"/>
          <w:sz w:val="28"/>
        </w:rPr>
        <w:t>2. 市場及對象</w:t>
      </w:r>
    </w:p>
    <w:p>
      <w:r>
        <w:rPr>
          <w:rFonts w:ascii="Microsoft JhengHei" w:hAnsi="Microsoft JhengHei" w:eastAsia="Microsoft JhengHei"/>
          <w:color w:val="000000"/>
          <w:sz w:val="21"/>
        </w:rPr>
        <w:t>市場需求先用可回溯的調查題目與來源資料確認。擬真市場樣本只用來示範需求分析方法，不能代表屏東縣整體市場，也不能直接形成固定班數或招生承諾。</w:t>
      </w:r>
    </w:p>
    <w:p>
      <w:r>
        <w:rPr>
          <w:rFonts w:ascii="Microsoft JhengHei" w:hAnsi="Microsoft JhengHei" w:eastAsia="Microsoft JhengHei"/>
          <w:color w:val="000000"/>
          <w:sz w:val="21"/>
        </w:rPr>
        <w:t>擬真調查示例共20份，多選興趣以健康教育14次、非醫療服務安全12次為主；週末偏好12/20、7至12小時偏好7/20。這些數字只協助展示需求排序方式，不作正式市場結論。</w:t>
      </w:r>
    </w:p>
    <w:p>
      <w:pPr>
        <w:pStyle w:val="Heading1"/>
      </w:pPr>
      <w:r>
        <w:rPr>
          <w:rFonts w:ascii="Microsoft JhengHei" w:hAnsi="Microsoft JhengHei" w:eastAsia="Microsoft JhengHei"/>
          <w:b/>
          <w:color w:val="000000"/>
          <w:sz w:val="28"/>
        </w:rPr>
        <w:t>3. 核心與候選課程組合</w:t>
      </w:r>
    </w:p>
    <w:p>
      <w:r>
        <w:rPr>
          <w:rFonts w:ascii="Microsoft JhengHei" w:hAnsi="Microsoft JhengHei" w:eastAsia="Microsoft JhengHei"/>
          <w:color w:val="000000"/>
          <w:sz w:val="21"/>
        </w:rPr>
        <w:t>課程組合分為核心、延伸與待驗證三層。核心保留健康教育及傳統整復推拿技術；延伸課程須由調查結果、法規範圍、可用師資及安全條件共同支持。</w:t>
      </w:r>
    </w:p>
    <w:p>
      <w:pPr>
        <w:pStyle w:val="Heading1"/>
      </w:pPr>
      <w:r>
        <w:rPr>
          <w:rFonts w:ascii="Microsoft JhengHei" w:hAnsi="Microsoft JhengHei" w:eastAsia="Microsoft JhengHei"/>
          <w:b/>
          <w:color w:val="000000"/>
          <w:sz w:val="28"/>
        </w:rPr>
        <w:t>4. 分階段路徑與觸發條件</w:t>
      </w:r>
    </w:p>
    <w:p>
      <w:r>
        <w:rPr>
          <w:rFonts w:ascii="Microsoft JhengHei" w:hAnsi="Microsoft JhengHei" w:eastAsia="Microsoft JhengHei"/>
          <w:color w:val="000000"/>
          <w:sz w:val="21"/>
        </w:rPr>
        <w:t>採條件式推進：先核對制度與資源，再完成課程設計與審查，通過核定後才試辦；結班後檢查學習、回饋、行為及成本來源，再決定維持、修訂或停止。</w:t>
      </w:r>
    </w:p>
    <w:p>
      <w:r>
        <w:rPr>
          <w:rFonts w:ascii="Microsoft JhengHei" w:hAnsi="Microsoft JhengHei" w:eastAsia="Microsoft JhengHei"/>
          <w:b/>
          <w:color w:val="000000"/>
          <w:sz w:val="20"/>
        </w:rPr>
        <w:t>分階段路徑與觸發條件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pPr>
            <w:r/>
            <w:r>
              <w:rPr>
                <w:rFonts w:ascii="Microsoft JhengHei" w:hAnsi="Microsoft JhengHei" w:eastAsia="Microsoft JhengHei"/>
                <w:b/>
                <w:color w:val="FFFFFF"/>
                <w:sz w:val="18"/>
              </w:rPr>
              <w:t>階段</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pPr>
            <w:r/>
            <w:r>
              <w:rPr>
                <w:rFonts w:ascii="Microsoft JhengHei" w:hAnsi="Microsoft JhengHei" w:eastAsia="Microsoft JhengHei"/>
                <w:b/>
                <w:color w:val="FFFFFF"/>
                <w:sz w:val="18"/>
              </w:rPr>
              <w:t>工作</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pPr>
            <w:r/>
            <w:r>
              <w:rPr>
                <w:rFonts w:ascii="Microsoft JhengHei" w:hAnsi="Microsoft JhengHei" w:eastAsia="Microsoft JhengHei"/>
                <w:b/>
                <w:color w:val="FFFFFF"/>
                <w:sz w:val="18"/>
              </w:rPr>
              <w:t>進入條件</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pPr>
            <w:r/>
            <w:r>
              <w:rPr>
                <w:rFonts w:ascii="Microsoft JhengHei" w:hAnsi="Microsoft JhengHei" w:eastAsia="Microsoft JhengHei"/>
                <w:b/>
                <w:color w:val="FFFFFF"/>
                <w:sz w:val="18"/>
              </w:rPr>
              <w:t>退出或暫緩條件</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方向盤點</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確認需求、法規與現有來源</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資料來源可讀回</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需求或依據不足時保留研究狀態</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設計審查</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完成目標、課程與安全設計</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人員與場地可核實</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必要核准尚未取得即停止</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受控試辦</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經核定後小規模辦理並收集紀錄</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正式權責核定完成</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風險或資源超出核定條件即暫停</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年度檢視</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依真實資料決定維持、修訂或停止</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原始紀錄與計算可重現</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證據不足則不宣稱成效</w:t>
            </w:r>
          </w:p>
        </w:tc>
      </w:tr>
    </w:tbl>
    <w:p>
      <w:pPr>
        <w:spacing w:after="20"/>
      </w:pPr>
    </w:p>
    <w:p>
      <w:pPr>
        <w:pStyle w:val="Heading1"/>
      </w:pPr>
      <w:r>
        <w:rPr>
          <w:rFonts w:ascii="Microsoft JhengHei" w:hAnsi="Microsoft JhengHei" w:eastAsia="Microsoft JhengHei"/>
          <w:b/>
          <w:color w:val="000000"/>
          <w:sz w:val="28"/>
        </w:rPr>
        <w:t>5. 資源與風險</w:t>
      </w:r>
    </w:p>
    <w:p>
      <w:r>
        <w:rPr>
          <w:rFonts w:ascii="Microsoft JhengHei" w:hAnsi="Microsoft JhengHei" w:eastAsia="Microsoft JhengHei"/>
          <w:color w:val="000000"/>
          <w:sz w:val="21"/>
        </w:rPr>
        <w:t>人力與行政設計以小型志工團隊可維持為規劃原則，不作為協會現行編制的事實陳述。法規、非醫療界線、個資、場地、師資與財務是開班前控制點。</w:t>
      </w:r>
    </w:p>
    <w:p>
      <w:pPr>
        <w:pStyle w:val="Heading1"/>
      </w:pPr>
      <w:r>
        <w:rPr>
          <w:rFonts w:ascii="Microsoft JhengHei" w:hAnsi="Microsoft JhengHei" w:eastAsia="Microsoft JhengHei"/>
          <w:b/>
          <w:color w:val="000000"/>
          <w:sz w:val="28"/>
        </w:rPr>
        <w:t>6. 年度回顧與人類決策點</w:t>
      </w:r>
    </w:p>
    <w:p>
      <w:r>
        <w:rPr>
          <w:rFonts w:ascii="Microsoft JhengHei" w:hAnsi="Microsoft JhengHei" w:eastAsia="Microsoft JhengHei"/>
          <w:color w:val="000000"/>
          <w:sz w:val="21"/>
        </w:rPr>
        <w:t>年度檢視應以實際市場調查、已核定制度及可驗證課程紀錄作為輸入。任何擴張都需由協會決議，保留暫緩、改版及停止選項。</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本文件是完整擬真工作稿。凡標示 SIM、匿名代碼、日期、人數、分數、費用、回饋、會議或測試結果，均來自擬真情境母表；不能作協會現況、實際核定、開班或成果證明。</w:t>
      </w:r>
    </w:p>
    <w:p>
      <w:r>
        <w:rPr>
          <w:rFonts w:ascii="Microsoft JhengHei" w:hAnsi="Microsoft JhengHei" w:eastAsia="Microsoft JhengHei"/>
          <w:b/>
          <w:color w:val="000000"/>
          <w:sz w:val="20"/>
        </w:rPr>
        <w:t>本文件引用的擬真資料索引</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pPr>
            <w:r/>
            <w:r>
              <w:rPr>
                <w:rFonts w:ascii="Microsoft JhengHei" w:hAnsi="Microsoft JhengHei" w:eastAsia="Microsoft JhengHei"/>
                <w:b/>
                <w:color w:val="FFFFFF"/>
                <w:sz w:val="16"/>
              </w:rPr>
              <w:t>資料ID</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pPr>
            <w:r/>
            <w:r>
              <w:rPr>
                <w:rFonts w:ascii="Microsoft JhengHei" w:hAnsi="Microsoft JhengHei" w:eastAsia="Microsoft JhengHei"/>
                <w:b/>
                <w:color w:val="FFFFFF"/>
                <w:sz w:val="16"/>
              </w:rPr>
              <w:t>擬真值</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pPr>
            <w:r/>
            <w:r>
              <w:rPr>
                <w:rFonts w:ascii="Microsoft JhengHei" w:hAnsi="Microsoft JhengHei" w:eastAsia="Microsoft JhengHei"/>
                <w:b/>
                <w:color w:val="FFFFFF"/>
                <w:sz w:val="16"/>
              </w:rPr>
              <w:t>正式替換來源</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SYN-020</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模擬市場問卷份數</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20份模擬回覆</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實際問卷版本、發送與回收紀錄。</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SYN-021</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模擬課程主題興趣</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健康教育14次；非醫療服務安全12次；社區活動帶領7次；數位工具應用9次；其他3次</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實際多選問卷原始資料與題目版本。</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SYN-022</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模擬參與時段</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週末12人；平日晚間5人；平日白天3人</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實際問卷回覆與有效分母。</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SYN-023</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模擬課程長度偏好</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3至6小時9人；7至12小時7人；超過12小時4人</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實際問卷回覆與有效分母。</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SYN-024</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模擬六個月參與意願</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有意願8人；不確定7人；目前無意願5人</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實際意願題原始回覆。</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SYN-025</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模擬費用區間</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新臺幣1,000元以下8人；1,001至3,000元7人；3,000元以上2人；補助或不確定3人</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實際成本、收費核定與支付意願調查。</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SYN-034</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模擬受訪者類別</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在職服務人員8人；初入行者5人；社區志工4人；轉職／進修者3人</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實際問卷受訪者分類與匿名化底稿。</w:t>
            </w:r>
          </w:p>
        </w:tc>
      </w:tr>
    </w:tbl>
    <w:p>
      <w:pPr>
        <w:spacing w:after="20"/>
      </w:pPr>
    </w:p>
    <w:p>
      <w:pPr>
        <w:pStyle w:val="Heading1"/>
      </w:pPr>
      <w:r>
        <w:rPr>
          <w:rFonts w:ascii="Microsoft JhengHei" w:hAnsi="Microsoft JhengHei" w:eastAsia="Microsoft JhengHei"/>
          <w:b/>
          <w:color w:val="000000"/>
          <w:sz w:val="28"/>
        </w:rPr>
        <w:t>來源與依據</w:t>
      </w:r>
    </w:p>
    <w:p>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TTQS查核佐證文件資料表－訓練機構版；現行原件9頁；本項頁次 1</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官方例示；內部文件分流依 V4 合約</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指標12、17子項依現行評核表；18、19分數層級僅作參考例示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歷史文件參考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協會中長程業務發展規劃與策略地圖歷史草案（已讀；未核定，只供結構及沿革參考）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僅供結構或修訂沿革；不作現況、核定或成果證據</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外部標竿參考</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高雄中餐服務人員職業工會 TTQS 導入分享案例（已讀）</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僅供結構參考；不轉用外部機構成果或數值</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OFR-001-D01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