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年度發展計畫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直接回應官方方框：單位工作達成年度績效目標的訂定及目標分析等佐證資料。。本文件功能為「年度發展計畫」，不以索引或通用摘要代替正文。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OFR-006-D01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指標1／第1頁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Plan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官方編號：OFR-006　｜　官方方框文字：單位工作達成年度績效目標的訂定及目標分析等佐證資料。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本文件以「年度發展計畫」格式完整回應本項官方要求，並說明作業、判斷、資料來源與正式採用條件。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年度背景與核定狀態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本文件為年度規劃工作稿；如引用市場結果，均依擬真母表標記。尚未取得協會核定的年度目標、預算或執行分工，故相關內容需經實際審議後生效。</w:t>
      </w:r>
    </w:p>
    <w:p>
      <w:r>
        <w:rPr>
          <w:rFonts w:ascii="Microsoft JhengHei" w:hAnsi="Microsoft JhengHei" w:eastAsia="Microsoft JhengHei"/>
          <w:color w:val="000000"/>
          <w:sz w:val="21"/>
        </w:rPr>
        <w:t>若以目前擬真需求資料作為年度規劃演練，應先把健康教育與非醫療服務安全列為優先驗證方向；需待真實調查與主管機關要求核對後，才設定正式年度目標。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目標及完成判準</w:t>
      </w:r>
    </w:p>
    <w:p>
      <w:r>
        <w:rPr>
          <w:rFonts w:ascii="Microsoft JhengHei" w:hAnsi="Microsoft JhengHei" w:eastAsia="Microsoft JhengHei"/>
          <w:color w:val="000000"/>
          <w:sz w:val="21"/>
        </w:rPr>
        <w:t>目標需同時具備指標定義、資料來源、計算分子分母、檢視頻率與負責角色。先建立可驗證的基線，再設定量化值；不得用未核實的歷史值填入基線。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行動與時程</w:t>
      </w:r>
    </w:p>
    <w:p>
      <w:r>
        <w:rPr>
          <w:rFonts w:ascii="Microsoft JhengHei" w:hAnsi="Microsoft JhengHei" w:eastAsia="Microsoft JhengHei"/>
          <w:color w:val="000000"/>
          <w:sz w:val="21"/>
        </w:rPr>
        <w:t>行動安排先完成官方申辦及課程範圍核對，再依市場證據設計課程、審查師資教材與安全條件，最後安排核准後的試辦與結案檢討。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年度行動與審查關卡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工作階段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主要行動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完成證據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審查關卡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需求確認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更新市場資料並界定優先對象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原始問卷、樣本及分析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來源及分母覆核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課程設計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完成目標、方法、評量及安全設計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版本化課程文件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權責審查與申辦核對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資源準備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取得師資、場地、教材及財務來源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原件、報價及核定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缺件即暫緩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檢討改善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依實際紀錄檢視差異與下一步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結案分析及追蹤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協會決議維持或修訂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人力與資源</w:t>
      </w:r>
    </w:p>
    <w:p>
      <w:r>
        <w:rPr>
          <w:rFonts w:ascii="Microsoft JhengHei" w:hAnsi="Microsoft JhengHei" w:eastAsia="Microsoft JhengHei"/>
          <w:color w:val="000000"/>
          <w:sz w:val="21"/>
        </w:rPr>
        <w:t>以角色分工和短表單支援小型志工團隊。每項工作都標明主責、覆核、輸出與所需外部原件；資源不足時可暫緩，不以未核定支出補足缺口。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監測指標</w:t>
      </w:r>
    </w:p>
    <w:p>
      <w:r>
        <w:rPr>
          <w:rFonts w:ascii="Microsoft JhengHei" w:hAnsi="Microsoft JhengHei" w:eastAsia="Microsoft JhengHei"/>
          <w:color w:val="000000"/>
          <w:sz w:val="21"/>
        </w:rPr>
        <w:t>每季只追蹤少量可取得的指標：需求資料完整性、課程審查狀態、開班前控制完成情形、學員評量及結案差異。指標定義變更須留版本。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差異處理及年度檢討</w:t>
      </w:r>
    </w:p>
    <w:p>
      <w:r>
        <w:rPr>
          <w:rFonts w:ascii="Microsoft JhengHei" w:hAnsi="Microsoft JhengHei" w:eastAsia="Microsoft JhengHei"/>
          <w:color w:val="000000"/>
          <w:sz w:val="21"/>
        </w:rPr>
        <w:t>未達條件時記錄差異、原因證據、替代方案與決議狀態。只有完成實際核定及留存紀錄後，才可把草案轉為正式年度計畫。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SYN-020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模擬市場問卷份數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20份模擬回覆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實際問卷版本、發送與回收紀錄。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SYN-021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模擬課程主題興趣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健康教育14次；非醫療服務安全12次；社區活動帶領7次；數位工具應用9次；其他3次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實際多選問卷原始資料與題目版本。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SYN-022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模擬參與時段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週末12人；平日晚間5人；平日白天3人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實際問卷回覆與有效分母。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SYN-023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模擬課程長度偏好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3至6小時9人；7至12小時7人；超過12小時4人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實際問卷回覆與有效分母。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SYN-024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模擬六個月參與意願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有意願8人；不確定7人；目前無意願5人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實際意願題原始回覆。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模擬費用區間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新臺幣1,000元以下8人；1,001至3,000元7人；3,000元以上2人；補助或不確定3人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實際成本、收費核定與支付意願調查。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1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協會中長程業務發展規劃與策略地圖歷史草案（已讀；未核定，只供結構及沿革參考）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外部標竿參考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高雄中餐服務人員職業工會 TTQS 導入分享案例（已讀）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僅供結構參考；不轉用外部機構成果或數值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OFR-006-D01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