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60"/>
      </w:pPr>
      <w:r>
        <w:rPr>
          <w:rFonts w:ascii="Microsoft JhengHei" w:hAnsi="Microsoft JhengHei" w:eastAsia="Microsoft JhengHei"/>
          <w:b/>
          <w:color w:val="000000"/>
          <w:sz w:val="42"/>
        </w:rPr>
        <w:t>學習評估報告</w:t>
      </w:r>
    </w:p>
    <w:p>
      <w:r>
        <w:rPr>
          <w:rFonts w:ascii="Microsoft JhengHei" w:hAnsi="Microsoft JhengHei" w:eastAsia="Microsoft JhengHei"/>
          <w:color w:val="000000"/>
          <w:sz w:val="22"/>
        </w:rPr>
        <w:t>直接回應官方方框：專業訓練人員職能評估方法等證明。。本文件功能為「學習評估報告」，不以索引或通用摘要代替正文。</w:t>
      </w:r>
    </w:p>
    <w:p>
      <w:r>
        <w:rPr>
          <w:rFonts w:ascii="Microsoft JhengHei" w:hAnsi="Microsoft JhengHei" w:eastAsia="Microsoft JhengHei"/>
          <w:b/>
          <w:color w:val="000000"/>
          <w:sz w:val="20"/>
        </w:rPr>
        <w:t>第三方／官方原件待取得｜本文件為完整索取與驗證包</w:t>
      </w:r>
      <w:r>
        <w:rPr>
          <w:rFonts w:ascii="Microsoft JhengHei" w:hAnsi="Microsoft JhengHei" w:eastAsia="Microsoft JhengHei"/>
          <w:color w:val="000000"/>
          <w:sz w:val="20"/>
        </w:rPr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文件控制資料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47"/>
        <w:gridCol w:w="3458"/>
        <w:gridCol w:w="1134"/>
        <w:gridCol w:w="3458"/>
      </w:tblGrid>
      <w:tr>
        <w:trPr>
          <w:tblHeader w:val="true"/>
        </w:trPr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內容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內容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文件編號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OFR-030-D02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版本／日期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V0.1／2026-09-24</w:t>
            </w:r>
          </w:p>
        </w:tc>
      </w:tr>
      <w:tr>
        <w:trPr>
          <w:cantSplit/>
        </w:trPr>
        <w:tc>
          <w:tcPr>
            <w:tcW w:type="dxa" w:w="1247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指標／頁次</w:t>
            </w:r>
          </w:p>
        </w:tc>
        <w:tc>
          <w:tcPr>
            <w:tcW w:type="dxa" w:w="3458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指標6／第2頁</w:t>
            </w:r>
          </w:p>
        </w:tc>
        <w:tc>
          <w:tcPr>
            <w:tcW w:type="dxa" w:w="1134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PDDRO</w:t>
            </w:r>
          </w:p>
        </w:tc>
        <w:tc>
          <w:tcPr>
            <w:tcW w:type="dxa" w:w="3458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Plan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文件狀態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第三方／官方原件待取得｜本文件為完整索取與驗證包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核定狀態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待協會審議或待原件核實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本文件回應的官方項目</w:t>
      </w:r>
    </w:p>
    <w:p>
      <w:r>
        <w:rPr>
          <w:rFonts w:ascii="Microsoft JhengHei" w:hAnsi="Microsoft JhengHei" w:eastAsia="Microsoft JhengHei"/>
          <w:color w:val="000000"/>
          <w:sz w:val="21"/>
        </w:rPr>
        <w:t>官方編號：OFR-030　｜　官方方框文字：專業訓練人員職能評估方法等證明。</w:t>
      </w:r>
    </w:p>
    <w:p>
      <w:r>
        <w:rPr>
          <w:rFonts w:ascii="Microsoft JhengHei" w:hAnsi="Microsoft JhengHei" w:eastAsia="Microsoft JhengHei"/>
          <w:color w:val="000000"/>
          <w:sz w:val="21"/>
        </w:rPr>
        <w:t>本文件以「學習評估報告」格式完整回應本項官方要求，並說明作業、判斷、資料來源與正式採用條件。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1. 學習目標與評量藍圖</w:t>
      </w:r>
    </w:p>
    <w:p>
      <w:r>
        <w:rPr>
          <w:rFonts w:ascii="Microsoft JhengHei" w:hAnsi="Microsoft JhengHei" w:eastAsia="Microsoft JhengHei"/>
          <w:color w:val="000000"/>
          <w:sz w:val="21"/>
        </w:rPr>
        <w:t>學習評估回答學員是否達到課程目標，並與反應、行為追蹤和組織成果分開報告。此示例沒有臨床技能或醫療效果評量。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2. 前後測與實作標準</w:t>
      </w:r>
    </w:p>
    <w:p>
      <w:r>
        <w:rPr>
          <w:rFonts w:ascii="Microsoft JhengHei" w:hAnsi="Microsoft JhengHei" w:eastAsia="Microsoft JhengHei"/>
          <w:color w:val="000000"/>
          <w:sz w:val="21"/>
        </w:rPr>
        <w:t>每一題或任務對應明確學習目標、評分規準、通過門檻、評量者與補救方式。正式量尺須經課程權責者核定。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3. 題目／任務結果</w:t>
      </w:r>
    </w:p>
    <w:p>
      <w:r>
        <w:rPr>
          <w:rFonts w:ascii="Microsoft JhengHei" w:hAnsi="Microsoft JhengHei" w:eastAsia="Microsoft JhengHei"/>
          <w:color w:val="000000"/>
          <w:sz w:val="21"/>
        </w:rPr>
        <w:t>SIM-2026-001 的擬真前測平均61.25分、後測平均76.75分，平均差15.50分；須同時檢查配對完整度與個別差異。</w:t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擬真前後測與實作結果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62"/>
        <w:gridCol w:w="1962"/>
        <w:gridCol w:w="1962"/>
        <w:gridCol w:w="1962"/>
        <w:gridCol w:w="1962"/>
      </w:tblGrid>
      <w:tr>
        <w:trPr>
          <w:tblHeader w:val="true"/>
        </w:trPr>
        <w:tc>
          <w:tcPr>
            <w:tcW w:type="dxa" w:w="196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匿名代碼</w:t>
            </w:r>
          </w:p>
        </w:tc>
        <w:tc>
          <w:tcPr>
            <w:tcW w:type="dxa" w:w="196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前測</w:t>
            </w:r>
          </w:p>
        </w:tc>
        <w:tc>
          <w:tcPr>
            <w:tcW w:type="dxa" w:w="196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後測</w:t>
            </w:r>
          </w:p>
        </w:tc>
        <w:tc>
          <w:tcPr>
            <w:tcW w:type="dxa" w:w="196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差值</w:t>
            </w:r>
          </w:p>
        </w:tc>
        <w:tc>
          <w:tcPr>
            <w:tcW w:type="dxa" w:w="196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實作狀態</w:t>
            </w:r>
          </w:p>
        </w:tc>
      </w:tr>
      <w:tr>
        <w:trPr>
          <w:cantSplit/>
        </w:trPr>
        <w:tc>
          <w:tcPr>
            <w:tcW w:type="dxa" w:w="196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SIM01</w:t>
            </w:r>
          </w:p>
        </w:tc>
        <w:tc>
          <w:tcPr>
            <w:tcW w:type="dxa" w:w="196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60</w:t>
            </w:r>
          </w:p>
        </w:tc>
        <w:tc>
          <w:tcPr>
            <w:tcW w:type="dxa" w:w="196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78</w:t>
            </w:r>
          </w:p>
        </w:tc>
        <w:tc>
          <w:tcPr>
            <w:tcW w:type="dxa" w:w="196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+18</w:t>
            </w:r>
          </w:p>
        </w:tc>
        <w:tc>
          <w:tcPr>
            <w:tcW w:type="dxa" w:w="196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達標</w:t>
            </w:r>
          </w:p>
        </w:tc>
      </w:tr>
      <w:tr>
        <w:trPr>
          <w:cantSplit/>
        </w:trPr>
        <w:tc>
          <w:tcPr>
            <w:tcW w:type="dxa" w:w="196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SIM02</w:t>
            </w:r>
          </w:p>
        </w:tc>
        <w:tc>
          <w:tcPr>
            <w:tcW w:type="dxa" w:w="196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55</w:t>
            </w:r>
          </w:p>
        </w:tc>
        <w:tc>
          <w:tcPr>
            <w:tcW w:type="dxa" w:w="196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72</w:t>
            </w:r>
          </w:p>
        </w:tc>
        <w:tc>
          <w:tcPr>
            <w:tcW w:type="dxa" w:w="196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+17</w:t>
            </w:r>
          </w:p>
        </w:tc>
        <w:tc>
          <w:tcPr>
            <w:tcW w:type="dxa" w:w="196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達標</w:t>
            </w:r>
          </w:p>
        </w:tc>
      </w:tr>
      <w:tr>
        <w:trPr>
          <w:cantSplit/>
        </w:trPr>
        <w:tc>
          <w:tcPr>
            <w:tcW w:type="dxa" w:w="196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SIM03</w:t>
            </w:r>
          </w:p>
        </w:tc>
        <w:tc>
          <w:tcPr>
            <w:tcW w:type="dxa" w:w="196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70</w:t>
            </w:r>
          </w:p>
        </w:tc>
        <w:tc>
          <w:tcPr>
            <w:tcW w:type="dxa" w:w="196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85</w:t>
            </w:r>
          </w:p>
        </w:tc>
        <w:tc>
          <w:tcPr>
            <w:tcW w:type="dxa" w:w="196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+15</w:t>
            </w:r>
          </w:p>
        </w:tc>
        <w:tc>
          <w:tcPr>
            <w:tcW w:type="dxa" w:w="196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達標</w:t>
            </w:r>
          </w:p>
        </w:tc>
      </w:tr>
      <w:tr>
        <w:trPr>
          <w:cantSplit/>
        </w:trPr>
        <w:tc>
          <w:tcPr>
            <w:tcW w:type="dxa" w:w="196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SIM04</w:t>
            </w:r>
          </w:p>
        </w:tc>
        <w:tc>
          <w:tcPr>
            <w:tcW w:type="dxa" w:w="196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65</w:t>
            </w:r>
          </w:p>
        </w:tc>
        <w:tc>
          <w:tcPr>
            <w:tcW w:type="dxa" w:w="196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82</w:t>
            </w:r>
          </w:p>
        </w:tc>
        <w:tc>
          <w:tcPr>
            <w:tcW w:type="dxa" w:w="196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+17</w:t>
            </w:r>
          </w:p>
        </w:tc>
        <w:tc>
          <w:tcPr>
            <w:tcW w:type="dxa" w:w="196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達標</w:t>
            </w:r>
          </w:p>
        </w:tc>
      </w:tr>
      <w:tr>
        <w:trPr>
          <w:cantSplit/>
        </w:trPr>
        <w:tc>
          <w:tcPr>
            <w:tcW w:type="dxa" w:w="196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SIM05</w:t>
            </w:r>
          </w:p>
        </w:tc>
        <w:tc>
          <w:tcPr>
            <w:tcW w:type="dxa" w:w="196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50</w:t>
            </w:r>
          </w:p>
        </w:tc>
        <w:tc>
          <w:tcPr>
            <w:tcW w:type="dxa" w:w="196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70</w:t>
            </w:r>
          </w:p>
        </w:tc>
        <w:tc>
          <w:tcPr>
            <w:tcW w:type="dxa" w:w="196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+20</w:t>
            </w:r>
          </w:p>
        </w:tc>
        <w:tc>
          <w:tcPr>
            <w:tcW w:type="dxa" w:w="196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達標</w:t>
            </w:r>
          </w:p>
        </w:tc>
      </w:tr>
      <w:tr>
        <w:trPr>
          <w:cantSplit/>
        </w:trPr>
        <w:tc>
          <w:tcPr>
            <w:tcW w:type="dxa" w:w="196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SIM06</w:t>
            </w:r>
          </w:p>
        </w:tc>
        <w:tc>
          <w:tcPr>
            <w:tcW w:type="dxa" w:w="196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75</w:t>
            </w:r>
          </w:p>
        </w:tc>
        <w:tc>
          <w:tcPr>
            <w:tcW w:type="dxa" w:w="196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88</w:t>
            </w:r>
          </w:p>
        </w:tc>
        <w:tc>
          <w:tcPr>
            <w:tcW w:type="dxa" w:w="196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+13</w:t>
            </w:r>
          </w:p>
        </w:tc>
        <w:tc>
          <w:tcPr>
            <w:tcW w:type="dxa" w:w="196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達標</w:t>
            </w:r>
          </w:p>
        </w:tc>
      </w:tr>
      <w:tr>
        <w:trPr>
          <w:cantSplit/>
        </w:trPr>
        <w:tc>
          <w:tcPr>
            <w:tcW w:type="dxa" w:w="196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SIM07</w:t>
            </w:r>
          </w:p>
        </w:tc>
        <w:tc>
          <w:tcPr>
            <w:tcW w:type="dxa" w:w="196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60</w:t>
            </w:r>
          </w:p>
        </w:tc>
        <w:tc>
          <w:tcPr>
            <w:tcW w:type="dxa" w:w="196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74</w:t>
            </w:r>
          </w:p>
        </w:tc>
        <w:tc>
          <w:tcPr>
            <w:tcW w:type="dxa" w:w="196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+14</w:t>
            </w:r>
          </w:p>
        </w:tc>
        <w:tc>
          <w:tcPr>
            <w:tcW w:type="dxa" w:w="196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待補救</w:t>
            </w:r>
          </w:p>
        </w:tc>
      </w:tr>
      <w:tr>
        <w:trPr>
          <w:cantSplit/>
        </w:trPr>
        <w:tc>
          <w:tcPr>
            <w:tcW w:type="dxa" w:w="196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SIM08</w:t>
            </w:r>
          </w:p>
        </w:tc>
        <w:tc>
          <w:tcPr>
            <w:tcW w:type="dxa" w:w="196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55</w:t>
            </w:r>
          </w:p>
        </w:tc>
        <w:tc>
          <w:tcPr>
            <w:tcW w:type="dxa" w:w="196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65</w:t>
            </w:r>
          </w:p>
        </w:tc>
        <w:tc>
          <w:tcPr>
            <w:tcW w:type="dxa" w:w="196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+10</w:t>
            </w:r>
          </w:p>
        </w:tc>
        <w:tc>
          <w:tcPr>
            <w:tcW w:type="dxa" w:w="196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未完成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4. 缺失分類</w:t>
      </w:r>
    </w:p>
    <w:p>
      <w:r>
        <w:rPr>
          <w:rFonts w:ascii="Microsoft JhengHei" w:hAnsi="Microsoft JhengHei" w:eastAsia="Microsoft JhengHei"/>
          <w:color w:val="000000"/>
          <w:sz w:val="21"/>
        </w:rPr>
        <w:t>實作示例呈現六人達標、一人待補救、一人未完成。這只演示分類與分母，不表示真實學員能力或資格。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5. 補救與再測</w:t>
      </w:r>
    </w:p>
    <w:p>
      <w:r>
        <w:rPr>
          <w:rFonts w:ascii="Microsoft JhengHei" w:hAnsi="Microsoft JhengHei" w:eastAsia="Microsoft JhengHei"/>
          <w:color w:val="000000"/>
          <w:sz w:val="21"/>
        </w:rPr>
        <w:t>未達標者需有回饋、補救、再測及覆核紀錄；缺席或未完成者列為未測或未完成，不以平均值替代。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6. 下一班修訂依據</w:t>
      </w:r>
    </w:p>
    <w:p>
      <w:r>
        <w:rPr>
          <w:rFonts w:ascii="Microsoft JhengHei" w:hAnsi="Microsoft JhengHei" w:eastAsia="Microsoft JhengHei"/>
          <w:color w:val="000000"/>
          <w:sz w:val="21"/>
        </w:rPr>
        <w:t>分析結果可用於下一班修訂題目、示例和練習安排。須保留題目版本、評分量尺、匿名化明細與公式。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資料真實性與使用界線</w:t>
      </w:r>
    </w:p>
    <w:p>
      <w:r>
        <w:rPr>
          <w:rFonts w:ascii="Microsoft JhengHei" w:hAnsi="Microsoft JhengHei" w:eastAsia="Microsoft JhengHei"/>
          <w:color w:val="000000"/>
          <w:sz w:val="21"/>
        </w:rPr>
        <w:t>所需第三方／官方原件尚未取得或讀回。本文件僅提供索取、驗真、收件及替換方法；不含偽造回函、證書、核准、簽章或保險文件。</w:t>
      </w:r>
    </w:p>
    <w:p>
      <w:r>
        <w:rPr>
          <w:rFonts w:ascii="Microsoft JhengHei" w:hAnsi="Microsoft JhengHei" w:eastAsia="Microsoft JhengHei"/>
          <w:color w:val="000000"/>
          <w:sz w:val="21"/>
        </w:rPr>
        <w:t>本文件若含 SIM 代碼或分數，只是擬真練習值；第三方原件仍待實際取得。</w:t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本文件引用的擬真資料索引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52"/>
        <w:gridCol w:w="2452"/>
        <w:gridCol w:w="2452"/>
        <w:gridCol w:w="2452"/>
      </w:tblGrid>
      <w:tr>
        <w:trPr>
          <w:tblHeader w:val="true"/>
        </w:trPr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資料ID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擬真值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正式替換來源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SYN-009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模擬到課人數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8人（匿名代碼）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實際簽到、補登與出席原件。</w:t>
            </w:r>
          </w:p>
        </w:tc>
      </w:tr>
      <w:tr>
        <w:trPr>
          <w:cantSplit/>
        </w:trPr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SYN-011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模擬完訓條件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至少出席9／12小時且安全關鍵實作達標（示例規則）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協會核定完訓規則及現行申辦要求。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SYN-014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模擬前測分數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SIM01=60、SIM02=55、SIM03=70、SIM04=65、SIM05=50、SIM06=75、SIM07=60、SIM08=55；平均61.25分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匿名化原始前測卷與計分底稿。</w:t>
            </w:r>
          </w:p>
        </w:tc>
      </w:tr>
      <w:tr>
        <w:trPr>
          <w:cantSplit/>
        </w:trPr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SYN-015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模擬後測分數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SIM01=78、SIM02=72、SIM03=85、SIM04=82、SIM05=70、SIM06=88、SIM07=74、SIM08=65；平均76.75分；平均增加15.50分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匿名化原始後測卷、配對及計分底稿。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SYN-016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模擬實作結果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6位達標、1位待補救、1位未完成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核定評量量規、評分者紀錄與補救／再測資料。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來源與依據</w:t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來源清單與限制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9"/>
        <w:gridCol w:w="3269"/>
        <w:gridCol w:w="3269"/>
      </w:tblGrid>
      <w:tr>
        <w:trPr>
          <w:tblHeader w:val="true"/>
        </w:trPr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來源類別</w:t>
            </w:r>
          </w:p>
        </w:tc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來源名稱／位置</w:t>
            </w:r>
          </w:p>
        </w:tc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使用方式與限制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官方逐項來源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TTQS查核佐證文件資料表－訓練機構版；現行原件9頁；本項頁次 2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官方例示；內部文件分流依 V4 合約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評核語義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TTQS人才發展品質管理評核表－訓練機構版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指標12、17子項依現行評核表；18、19分數層級僅作參考例示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協會名稱與方向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本次人類任務指示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使用者提供，未獨立查證；不是課程核准或執行證明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049" w:bottom="964" w:left="104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color w:val="555555"/>
        <w:sz w:val="17"/>
      </w:rPr>
      <w:t xml:space="preserve">OFR-030-D02　　頁次 </w:t>
    </w:r>
    <w:r>
      <w:rPr>
        <w:rFonts w:ascii="Microsoft JhengHei" w:hAnsi="Microsoft JhengHei" w:eastAsia="Microsoft JhengHei"/>
        <w:color w:val="555555"/>
        <w:sz w:val="17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JhengHei" w:hAnsi="Microsoft JhengHei" w:eastAsia="Microsoft JhengHei"/>
        <w:color w:val="555555"/>
        <w:sz w:val="17"/>
      </w:rPr>
      <w:t>社團法人屏東縣原始點關懷協會　｜　TTQS 工作文件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Microsoft JhengHei" w:hAnsi="Microsoft JhengHei" w:eastAsia="Microsoft JhengHe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