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管理辦法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所有的討論、會議或E-mail均留有完整紀錄並經簽核後存檔。。本文件功能為「管理辦法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5　｜　官方方框文字：所有的討論、會議或E-mail均留有完整紀錄並經簽核後存檔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管理辦法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建立訓練文件的最低治理要求，供協會審議採用。組織權責、核定層級與保存年限須再依章程、實際人力及現行法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名詞與治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適用於需求調查、課程規劃、師資教材、招生執行、學習評量、財務結案、異常改善與訓後追蹤。外部原件仍由原始保管單位出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權責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角色負責建立文件和來源索引；覆核角色確認數字、附件、個資與版本；核定權責依協會實際決議填入，不預設由特定職稱或個人代行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權責與紀錄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R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A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受理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協會實際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、收件日、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內容與數字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編製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計算底稿、附件索引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對外公告／申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公告版本、通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結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承辦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、帳務及核定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與修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管理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、保存與作廢紀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控制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文件採唯一編號、版本、日期、狀態、來源及保存位置。草案、已審查、已核定、已發布與已作廢分開標記；任何補件要記錄原件來源及頁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表單與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、編碼、審核、核定、發布、修訂、保存與銷毀均留可回溯紀錄。會計帳簿憑證依現行社會團體財務規定核定保存控制；其他資料依用途、法律及必要性設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審查修訂與生效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須經協會適當權責審議後才可生效。修訂時記錄改版原因、影響文件、宣導及舊版撤回情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