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直接回應官方方框：相關文件能記錄近年來對於課程之評估、採購、簽約與後續管理作業的檢討及改善。。本文件功能為「年度分析與管理審查」，不以索引或通用摘要代替正文。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官方編號：OFR-048　｜　官方方框文字：相關文件能記錄近年來對於課程之評估、採購、簽約與後續管理作業的檢討及改善。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3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協會原始帳冊、憑證與核定報表；社會團體財務處理辦法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本工作稿無協會實際收支或營業額原件；案例數字均為模擬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