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課程設計書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直接回應官方方框：各課程單元內容均能達成訓練規劃的目標。。本文件功能為「課程設計書」，不以索引或通用摘要代替正文。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官方編號：OFR-052　｜　官方方框文字：各課程單元內容均能達成訓練規劃的目標。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本文件以「課程設計書」格式完整回應本項官方要求，並說明作業、判斷、資料來源與正式採用條件。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設計依據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設計從學習需求、非醫療界線與可驗證目標推導單元，不以傳統術語替代學習結果。所有技術內容須先經主管機關與合格審查者確認可教範圍。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目標行為與標準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每個目標描述學員可做或可說明的行為，配對可觀察的標準與評量證據；若無法取得可靠證據，先修訂目標而不虛報達成。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內容排序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先教基本概念，再進入案例判讀、溝通練習與情境回饋。單元安排留有提問、休息與補救空間，避免以密集示範替代學習檢核。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教學策略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教學方法須與目標一致；知識理解採短題檢核，溝通採情境量規，安全判斷採停止條件辨識。每項方法需指定紀錄方式。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教材與教具</w:t>
      </w:r>
    </w:p>
    <w:p>
      <w:r>
        <w:rPr>
          <w:rFonts w:ascii="Microsoft JhengHei" w:hAnsi="Microsoft JhengHei" w:eastAsia="Microsoft JhengHei"/>
          <w:color w:val="000000"/>
          <w:sz w:val="21"/>
        </w:rPr>
        <w:t>教材需標註版本、來源、編寫者、審查者及更新日期；涉及健康資訊時使用可信來源且避免診斷或治療宣稱。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評量藍圖列出目標、題型、通過條件及補救方式。擬真成績僅示範口徑，不可作為協會實際學習成果。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可及性與安全</w:t>
      </w:r>
    </w:p>
    <w:p>
      <w:r>
        <w:rPr>
          <w:rFonts w:ascii="Microsoft JhengHei" w:hAnsi="Microsoft JhengHei" w:eastAsia="Microsoft JhengHei"/>
          <w:color w:val="000000"/>
          <w:sz w:val="21"/>
        </w:rPr>
        <w:t>課程安排須提供可理解的文字材料、合理休息與安全參與方式。涉及個別身體狀況時不在團體表單蒐集病史，改由適當程序處理。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試教修訂紀錄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試教、修訂與核定紀錄目前待取得。未有實際執行時，將修改欄標為建議草案，不補寫試教結果。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