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課程設計書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近年針對訓練課程的切合性，有檢討並調整遴選學員、教材、師資、教學方法與訓練設施的過程，或有完整文書手冊與紀錄分析相關資料並持續改善。。本文件功能為「課程設計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官方編號：OFR-056　｜　官方方框文字：近年針對訓練課程的切合性，有檢討並調整遴選學員、教材、師資、教學方法與訓練設施的過程，或有完整文書手冊與紀錄分析相關資料並持續改善。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本文件以「課程設計書」格式完整回應本項官方要求，並說明作業、判斷、資料來源與正式採用條件。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設計依據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設計從學習需求、非醫療界線與可驗證目標推導單元，不以傳統術語替代學習結果。所有技術內容須先經主管機關與合格審查者確認可教範圍。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目標行為與標準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每個目標描述學員可做或可說明的行為，配對可觀察的標準與評量證據；若無法取得可靠證據，先修訂目標而不虛報達成。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內容排序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先教基本概念，再進入案例判讀、溝通練習與情境回饋。單元安排留有提問、休息與補救空間，避免以密集示範替代學習檢核。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教學策略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教學方法須與目標一致；知識理解採短題檢核，溝通採情境量規，安全判斷採停止條件辨識。每項方法需指定紀錄方式。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教材與教具</w:t>
      </w:r>
    </w:p>
    <w:p>
      <w:r>
        <w:rPr>
          <w:rFonts w:ascii="Microsoft JhengHei" w:hAnsi="Microsoft JhengHei" w:eastAsia="Microsoft JhengHei"/>
          <w:color w:val="000000"/>
          <w:sz w:val="21"/>
        </w:rPr>
        <w:t>教材需標註版本、來源、編寫者、審查者及更新日期；涉及健康資訊時使用可信來源且避免診斷或治療宣稱。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評量藍圖列出目標、題型、通過條件及補救方式。擬真成績僅示範口徑，不可作為協會實際學習成果。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可及性與安全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課程安排須提供可理解的文字材料、合理休息與安全參與方式。涉及個別身體狀況時不在團體表單蒐集病史，改由適當程序處理。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試教修訂紀錄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試教、修訂與核定紀錄目前待取得。未有實際執行時，將修改欄標為建議草案，不補寫試教結果。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