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異常處理與改善追蹤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直接回應官方方框：訓練異常處理方法、紀錄與工具。。本文件功能為「異常處理與改善追蹤」，不以索引或通用摘要代替正文。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OFR-077-D02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官方編號：OFR-077　｜　官方方框文字：訓練異常處理方法、紀錄與工具。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本文件以「異常處理與改善追蹤」格式完整回應本項官方要求，並說明作業、判斷、資料來源與正式採用條件。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事件與分級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本表用來記錄事件、控制、原因分析、改善措施及有效性。擬真設備事件僅示範流程，並不表示協會曾發生或已完成改善。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即時控制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先記錄事件時間、位置、受影響活動、通報角色與即時保護措施。避免填入不必要的學員健康或個資。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原因分析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即時控制包括停止受影響活動、使用經確認的替代材料及告知課堂影響；任何續課或補時由權責角色確認。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異常、控制與有效性追蹤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僅為擬真案例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核對實際設備與紀錄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即時控制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切換紙本材料並記錄延遲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依情境母表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正式案例需補上受影響範圍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原因分析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連線、接頭、設定及備援均待查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不得先定根因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完成技術檢查紀錄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改善草案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待協會審議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核定後追蹤完成證據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有效性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下次班前查核並記錄再發情形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尚無實測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未驗證前保持開放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矯正措施</w:t>
      </w:r>
    </w:p>
    <w:p>
      <w:r>
        <w:rPr>
          <w:rFonts w:ascii="Microsoft JhengHei" w:hAnsi="Microsoft JhengHei" w:eastAsia="Microsoft JhengHei"/>
          <w:color w:val="000000"/>
          <w:sz w:val="21"/>
        </w:rPr>
        <w:t>原因分析從設備、接線、備援、前置檢查及操作流程查證。沒有原始檢查紀錄前不得斷定單一根因。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措施需對應查證結果，指定負責角色、期限、完成證據及覆核者。擬真建議需由協會審議後才可採行。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有效性驗證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有效性以後續班次抽查前置檢點、備援可用性及異常再發情形確認；沒有後續實測時標記未驗證。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再發防止與文件修訂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有效後更新SOP、表單、教材及角色說明；保留舊版、變更原因與教育紀錄，避免重複發生。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OFR-077-D02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