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標準作業程序書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直接回應官方方框：建立目標客戶及學員滿意度調查機制（系統及流程面）。。本文件功能為「標準作業程序書」，不以索引或通用摘要代替正文。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官方編號：OFR-103　｜　官方方框文字：建立目標客戶及學員滿意度調查機制（系統及流程面）。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本文件以「標準作業程序書」格式完整回應本項官方要求，並說明作業、判斷、資料來源與正式採用條件。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本程序將官方項目轉為可執行步驟，並明確起始條件、交接、判斷與輸出。正式使用前由協會確認權責、時限、表單及核定版本。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角色責任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承辦人依實際分工蒐集輸入資料；覆核者檢查完整性與來源；需要協會決定或外部核准時，將流程停在核定關卡，不預設已通過。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輸入與起始條件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流程開始前需有明確需求或事件、適用版本與資料來源。若缺少申辦文件、原始紀錄或必要核定，標記待補並通知權責角色。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步驟及判斷分支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先登錄，再核對來源，接著進行實質審查、計算或決策；經核定的內容才發布或執行；執行後收回紀錄並完成檢討。每一步都形成可查證的輸出。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作業步驟與判斷點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判斷／退回條件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 受理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確認需求、適用指標與期限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資料不完整則列待補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受理登錄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 蒐證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定位原始資料與保管者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僅網址或摘要則標待取得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 編製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依專屬文件結構完成內容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擬真值須對回母表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工作稿與計算表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 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檢查來源、個資、公式及版本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差異未解則退回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 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提交實際權責審議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未核定不得發布／執行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核定或待核定狀態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 執行與歸檔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依核定版本使用並收回紀錄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異常啟動事件處理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正式紀錄及檢討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關鍵控制點包含來源真偽、分子分母、日期範圍、非醫療界線、個資最小化、版本與簽核狀態。未完成控制者不得標示為正式完成。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異常處理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遇到資料缺漏、數字不一致、設備異常、申請未核准或第三方未回覆時，先保存現況、暫停相關宣稱，記錄處理與責任期限，再由權責者判定後續。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輸出及紀錄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完成後保存核定文件、原始來源、版本、附件與覆核痕跡。第三方原件另存原檔，不以轉述摘要替代。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查核指標與修訂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每次執行記錄開始與完成時間、待補項、退回原因及結果。年度或重大變更時由協會檢討流程是否適用並留修訂紀錄。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