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60"/>
      </w:pPr>
      <w:r>
        <w:rPr>
          <w:rFonts w:ascii="Microsoft JhengHei" w:hAnsi="Microsoft JhengHei" w:eastAsia="Microsoft JhengHei"/>
          <w:b/>
          <w:color w:val="000000"/>
          <w:sz w:val="42"/>
        </w:rPr>
        <w:t>成果評估報告</w:t>
      </w:r>
    </w:p>
    <w:p>
      <w:r>
        <w:rPr>
          <w:rFonts w:ascii="Microsoft JhengHei" w:hAnsi="Microsoft JhengHei" w:eastAsia="Microsoft JhengHei"/>
          <w:color w:val="000000"/>
          <w:sz w:val="22"/>
        </w:rPr>
        <w:t>直接回應官方方框：問卷調查及課後行動計畫評估表等顯示目標客戶及學員認為訓練有績效改善的效果。。本文件功能為「成果評估報告」，不以索引或通用摘要代替正文。</w:t>
      </w:r>
    </w:p>
    <w:p>
      <w:r>
        <w:rPr>
          <w:rFonts w:ascii="Microsoft JhengHei" w:hAnsi="Microsoft JhengHei" w:eastAsia="Microsoft JhengHei"/>
          <w:b/>
          <w:color w:val="000000"/>
          <w:sz w:val="20"/>
        </w:rPr>
        <w:t>完整擬真工作稿｜數值與案例均非協會實績，待人工核實</w:t>
      </w:r>
      <w:r>
        <w:rPr>
          <w:rFonts w:ascii="Microsoft JhengHei" w:hAnsi="Microsoft JhengHei" w:eastAsia="Microsoft JhengHei"/>
          <w:color w:val="000000"/>
          <w:sz w:val="20"/>
        </w:rPr>
      </w:r>
    </w:p>
    <w:p>
      <w:pPr>
        <w:keepNext/>
      </w:pPr>
      <w:r>
        <w:rPr>
          <w:rFonts w:ascii="Microsoft JhengHei" w:hAnsi="Microsoft JhengHei" w:eastAsia="Microsoft JhengHei"/>
          <w:b/>
          <w:color w:val="000000"/>
          <w:sz w:val="20"/>
        </w:rPr>
        <w:t>文件控制資料</w:t>
      </w:r>
      <w:r>
        <w:rPr>
          <w:rFonts w:ascii="Microsoft JhengHei" w:hAnsi="Microsoft JhengHei" w:eastAsia="Microsoft JhengHei"/>
          <w:color w:val="000000"/>
          <w:sz w:val="20"/>
        </w:rPr>
      </w:r>
    </w:p>
    <w:tbl>
      <w:tblPr>
        <w:tblW w:type="auto" w:w="0"/>
        <w:jc w:val="center"/>
        <w:tblLayout w:type="fixed"/>
        <w:tblLook w:firstColumn="1" w:firstRow="1" w:lastColumn="0" w:lastRow="0" w:noHBand="0" w:noVBand="1" w:val="04A0"/>
      </w:tblPr>
      <w:tblGrid>
        <w:gridCol w:w="1247"/>
        <w:gridCol w:w="3458"/>
        <w:gridCol w:w="1134"/>
        <w:gridCol w:w="3458"/>
      </w:tblGrid>
      <w:tr>
        <w:trPr>
          <w:tblHeader w:val="true"/>
        </w:trPr>
        <w:tc>
          <w:tcPr>
            <w:tcW w:type="dxa" w:w="2452"/>
            <w:shd w:fill="24476B"/>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keepNext/>
              <w:spacing w:after="0"/>
            </w:pPr>
            <w:r/>
            <w:r>
              <w:rPr>
                <w:rFonts w:ascii="Microsoft JhengHei" w:hAnsi="Microsoft JhengHei" w:eastAsia="Microsoft JhengHei"/>
                <w:b/>
                <w:color w:val="FFFFFF"/>
                <w:sz w:val="16"/>
              </w:rPr>
              <w:t>欄位</w:t>
            </w:r>
          </w:p>
        </w:tc>
        <w:tc>
          <w:tcPr>
            <w:tcW w:type="dxa" w:w="2452"/>
            <w:shd w:fill="24476B"/>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keepNext/>
              <w:spacing w:after="0"/>
            </w:pPr>
            <w:r/>
            <w:r>
              <w:rPr>
                <w:rFonts w:ascii="Microsoft JhengHei" w:hAnsi="Microsoft JhengHei" w:eastAsia="Microsoft JhengHei"/>
                <w:b/>
                <w:color w:val="FFFFFF"/>
                <w:sz w:val="16"/>
              </w:rPr>
              <w:t>內容</w:t>
            </w:r>
          </w:p>
        </w:tc>
        <w:tc>
          <w:tcPr>
            <w:tcW w:type="dxa" w:w="2452"/>
            <w:shd w:fill="24476B"/>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keepNext/>
              <w:spacing w:after="0"/>
            </w:pPr>
            <w:r/>
            <w:r>
              <w:rPr>
                <w:rFonts w:ascii="Microsoft JhengHei" w:hAnsi="Microsoft JhengHei" w:eastAsia="Microsoft JhengHei"/>
                <w:b/>
                <w:color w:val="FFFFFF"/>
                <w:sz w:val="16"/>
              </w:rPr>
              <w:t>欄位</w:t>
            </w:r>
          </w:p>
        </w:tc>
        <w:tc>
          <w:tcPr>
            <w:tcW w:type="dxa" w:w="2452"/>
            <w:shd w:fill="24476B"/>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keepNext/>
              <w:spacing w:after="0"/>
            </w:pPr>
            <w:r/>
            <w:r>
              <w:rPr>
                <w:rFonts w:ascii="Microsoft JhengHei" w:hAnsi="Microsoft JhengHei" w:eastAsia="Microsoft JhengHei"/>
                <w:b/>
                <w:color w:val="FFFFFF"/>
                <w:sz w:val="16"/>
              </w:rPr>
              <w:t>內容</w:t>
            </w:r>
          </w:p>
        </w:tc>
      </w:tr>
      <w:tr>
        <w:trPr>
          <w:cantSplit/>
        </w:trPr>
        <w:tc>
          <w:tcPr>
            <w:tcW w:type="dxa" w:w="1247"/>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文件編號</w:t>
            </w:r>
          </w:p>
        </w:tc>
        <w:tc>
          <w:tcPr>
            <w:tcW w:type="dxa" w:w="3458"/>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OFR-114-D01</w:t>
            </w:r>
          </w:p>
        </w:tc>
        <w:tc>
          <w:tcPr>
            <w:tcW w:type="dxa" w:w="1134"/>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版本／日期</w:t>
            </w:r>
          </w:p>
        </w:tc>
        <w:tc>
          <w:tcPr>
            <w:tcW w:type="dxa" w:w="3458"/>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V0.1／2026-09-24</w:t>
            </w:r>
          </w:p>
        </w:tc>
      </w:tr>
      <w:tr>
        <w:trPr>
          <w:cantSplit/>
        </w:trPr>
        <w:tc>
          <w:tcPr>
            <w:tcW w:type="dxa" w:w="1247"/>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指標／頁次</w:t>
            </w:r>
          </w:p>
        </w:tc>
        <w:tc>
          <w:tcPr>
            <w:tcW w:type="dxa" w:w="3458"/>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指標18／第7頁</w:t>
            </w:r>
          </w:p>
        </w:tc>
        <w:tc>
          <w:tcPr>
            <w:tcW w:type="dxa" w:w="1134"/>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PDDRO</w:t>
            </w:r>
          </w:p>
        </w:tc>
        <w:tc>
          <w:tcPr>
            <w:tcW w:type="dxa" w:w="3458"/>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Outcome</w:t>
            </w:r>
          </w:p>
        </w:tc>
      </w:tr>
      <w:tr>
        <w:trPr>
          <w:cantSplit/>
        </w:trPr>
        <w:tc>
          <w:tcPr>
            <w:tcW w:type="dxa" w:w="1247"/>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文件狀態</w:t>
            </w:r>
          </w:p>
        </w:tc>
        <w:tc>
          <w:tcPr>
            <w:tcW w:type="dxa" w:w="3458"/>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完整擬真工作稿｜數值與案例均非協會實績，待人工核實</w:t>
            </w:r>
          </w:p>
        </w:tc>
        <w:tc>
          <w:tcPr>
            <w:tcW w:type="dxa" w:w="1134"/>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核定狀態</w:t>
            </w:r>
          </w:p>
        </w:tc>
        <w:tc>
          <w:tcPr>
            <w:tcW w:type="dxa" w:w="3458"/>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待協會審議或待原件核實</w:t>
            </w:r>
          </w:p>
        </w:tc>
      </w:tr>
    </w:tbl>
    <w:p>
      <w:pPr>
        <w:spacing w:after="20"/>
      </w:pPr>
    </w:p>
    <w:p>
      <w:pPr>
        <w:pStyle w:val="Heading1"/>
      </w:pPr>
      <w:r>
        <w:rPr>
          <w:rFonts w:ascii="Microsoft JhengHei" w:hAnsi="Microsoft JhengHei" w:eastAsia="Microsoft JhengHei"/>
          <w:b/>
          <w:color w:val="000000"/>
          <w:sz w:val="28"/>
        </w:rPr>
        <w:t>本文件回應的官方項目</w:t>
      </w:r>
    </w:p>
    <w:p>
      <w:r>
        <w:rPr>
          <w:rFonts w:ascii="Microsoft JhengHei" w:hAnsi="Microsoft JhengHei" w:eastAsia="Microsoft JhengHei"/>
          <w:color w:val="000000"/>
          <w:sz w:val="21"/>
        </w:rPr>
        <w:t>官方編號：OFR-114　｜　官方方框文字：問卷調查及課後行動計畫評估表等顯示目標客戶及學員認為訓練有績效改善的效果。</w:t>
      </w:r>
    </w:p>
    <w:p>
      <w:r>
        <w:rPr>
          <w:rFonts w:ascii="Microsoft JhengHei" w:hAnsi="Microsoft JhengHei" w:eastAsia="Microsoft JhengHei"/>
          <w:color w:val="000000"/>
          <w:sz w:val="21"/>
        </w:rPr>
        <w:t>本文件以「成果評估報告」格式完整回應本項官方要求，並說明作業、判斷、資料來源與正式採用條件。</w:t>
      </w:r>
    </w:p>
    <w:p>
      <w:pPr>
        <w:pStyle w:val="Heading1"/>
      </w:pPr>
      <w:r>
        <w:rPr>
          <w:rFonts w:ascii="Microsoft JhengHei" w:hAnsi="Microsoft JhengHei" w:eastAsia="Microsoft JhengHei"/>
          <w:b/>
          <w:color w:val="000000"/>
          <w:sz w:val="28"/>
        </w:rPr>
        <w:t>1. 組織／工作需求</w:t>
      </w:r>
    </w:p>
    <w:p>
      <w:r>
        <w:rPr>
          <w:rFonts w:ascii="Microsoft JhengHei" w:hAnsi="Microsoft JhengHei" w:eastAsia="Microsoft JhengHei"/>
          <w:color w:val="000000"/>
          <w:sz w:val="21"/>
        </w:rPr>
        <w:t>成果評估連結訓練與工作或組織需求，但必須說明資料來源、觀察期間及可歸因程度。擬真資料不能代表協會已達成成果。</w:t>
      </w:r>
    </w:p>
    <w:p>
      <w:pPr>
        <w:pStyle w:val="Heading1"/>
      </w:pPr>
      <w:r>
        <w:rPr>
          <w:rFonts w:ascii="Microsoft JhengHei" w:hAnsi="Microsoft JhengHei" w:eastAsia="Microsoft JhengHei"/>
          <w:b/>
          <w:color w:val="000000"/>
          <w:sz w:val="28"/>
        </w:rPr>
        <w:t>2. 基線與目標</w:t>
      </w:r>
    </w:p>
    <w:p>
      <w:r>
        <w:rPr>
          <w:rFonts w:ascii="Microsoft JhengHei" w:hAnsi="Microsoft JhengHei" w:eastAsia="Microsoft JhengHei"/>
          <w:color w:val="000000"/>
          <w:sz w:val="21"/>
        </w:rPr>
        <w:t>先定義基線、目標、觀察單位和期間；缺少基線時列為待建立，不用回憶或估計補值。指標須可由原始紀錄重算。</w:t>
      </w:r>
    </w:p>
    <w:p>
      <w:pPr>
        <w:pStyle w:val="Heading1"/>
      </w:pPr>
      <w:r>
        <w:rPr>
          <w:rFonts w:ascii="Microsoft JhengHei" w:hAnsi="Microsoft JhengHei" w:eastAsia="Microsoft JhengHei"/>
          <w:b/>
          <w:color w:val="000000"/>
          <w:sz w:val="28"/>
        </w:rPr>
        <w:t>3. 指標定義及來源</w:t>
      </w:r>
    </w:p>
    <w:p>
      <w:r>
        <w:rPr>
          <w:rFonts w:ascii="Microsoft JhengHei" w:hAnsi="Microsoft JhengHei" w:eastAsia="Microsoft JhengHei"/>
          <w:color w:val="000000"/>
          <w:sz w:val="21"/>
        </w:rPr>
        <w:t>可用學員學習、工作應用、雇主觀察、服務品質及成本等不同層次指標，分開報告，不將課後自評等同組織績效。</w:t>
      </w:r>
    </w:p>
    <w:p>
      <w:pPr>
        <w:keepNext/>
      </w:pPr>
      <w:r>
        <w:rPr>
          <w:rFonts w:ascii="Microsoft JhengHei" w:hAnsi="Microsoft JhengHei" w:eastAsia="Microsoft JhengHei"/>
          <w:b/>
          <w:color w:val="000000"/>
          <w:sz w:val="20"/>
        </w:rPr>
        <w:t>成果指標及證據狀態</w:t>
      </w:r>
      <w:r>
        <w:rPr>
          <w:rFonts w:ascii="Microsoft JhengHei" w:hAnsi="Microsoft JhengHei" w:eastAsia="Microsoft JhengHei"/>
          <w:color w:val="000000"/>
          <w:sz w:val="20"/>
        </w:rPr>
      </w:r>
    </w:p>
    <w:tbl>
      <w:tblPr>
        <w:tblW w:type="auto" w:w="0"/>
        <w:jc w:val="center"/>
        <w:tblLayout w:type="fixed"/>
        <w:tblLook w:firstColumn="1" w:firstRow="1" w:lastColumn="0" w:lastRow="0" w:noHBand="0" w:noVBand="1" w:val="04A0"/>
      </w:tblPr>
      <w:tblGrid>
        <w:gridCol w:w="2452"/>
        <w:gridCol w:w="2452"/>
        <w:gridCol w:w="2452"/>
        <w:gridCol w:w="2452"/>
      </w:tblGrid>
      <w:tr>
        <w:trPr>
          <w:tblHeader w:val="true"/>
        </w:trPr>
        <w:tc>
          <w:tcPr>
            <w:tcW w:type="dxa" w:w="2452"/>
            <w:shd w:fill="24476B"/>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keepNext/>
              <w:spacing w:after="0"/>
            </w:pPr>
            <w:r/>
            <w:r>
              <w:rPr>
                <w:rFonts w:ascii="Microsoft JhengHei" w:hAnsi="Microsoft JhengHei" w:eastAsia="Microsoft JhengHei"/>
                <w:b/>
                <w:color w:val="FFFFFF"/>
                <w:sz w:val="18"/>
              </w:rPr>
              <w:t>層次</w:t>
            </w:r>
          </w:p>
        </w:tc>
        <w:tc>
          <w:tcPr>
            <w:tcW w:type="dxa" w:w="2452"/>
            <w:shd w:fill="24476B"/>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keepNext/>
              <w:spacing w:after="0"/>
            </w:pPr>
            <w:r/>
            <w:r>
              <w:rPr>
                <w:rFonts w:ascii="Microsoft JhengHei" w:hAnsi="Microsoft JhengHei" w:eastAsia="Microsoft JhengHei"/>
                <w:b/>
                <w:color w:val="FFFFFF"/>
                <w:sz w:val="18"/>
              </w:rPr>
              <w:t>示例指標</w:t>
            </w:r>
          </w:p>
        </w:tc>
        <w:tc>
          <w:tcPr>
            <w:tcW w:type="dxa" w:w="2452"/>
            <w:shd w:fill="24476B"/>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keepNext/>
              <w:spacing w:after="0"/>
            </w:pPr>
            <w:r/>
            <w:r>
              <w:rPr>
                <w:rFonts w:ascii="Microsoft JhengHei" w:hAnsi="Microsoft JhengHei" w:eastAsia="Microsoft JhengHei"/>
                <w:b/>
                <w:color w:val="FFFFFF"/>
                <w:sz w:val="18"/>
              </w:rPr>
              <w:t>來源狀態</w:t>
            </w:r>
          </w:p>
        </w:tc>
        <w:tc>
          <w:tcPr>
            <w:tcW w:type="dxa" w:w="2452"/>
            <w:shd w:fill="24476B"/>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keepNext/>
              <w:spacing w:after="0"/>
            </w:pPr>
            <w:r/>
            <w:r>
              <w:rPr>
                <w:rFonts w:ascii="Microsoft JhengHei" w:hAnsi="Microsoft JhengHei" w:eastAsia="Microsoft JhengHei"/>
                <w:b/>
                <w:color w:val="FFFFFF"/>
                <w:sz w:val="18"/>
              </w:rPr>
              <w:t>正式判讀限制</w:t>
            </w:r>
          </w:p>
        </w:tc>
      </w:tr>
      <w:tr>
        <w:trPr>
          <w:cantSplit/>
        </w:trPr>
        <w:tc>
          <w:tcPr>
            <w:tcW w:type="dxa" w:w="2452"/>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學習</w:t>
            </w:r>
          </w:p>
        </w:tc>
        <w:tc>
          <w:tcPr>
            <w:tcW w:type="dxa" w:w="2452"/>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前後測平均差 +15.50分</w:t>
            </w:r>
          </w:p>
        </w:tc>
        <w:tc>
          <w:tcPr>
            <w:tcW w:type="dxa" w:w="2452"/>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擬真測驗</w:t>
            </w:r>
          </w:p>
        </w:tc>
        <w:tc>
          <w:tcPr>
            <w:tcW w:type="dxa" w:w="2452"/>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只示範計算</w:t>
            </w:r>
          </w:p>
        </w:tc>
      </w:tr>
      <w:tr>
        <w:trPr>
          <w:cantSplit/>
        </w:trPr>
        <w:tc>
          <w:tcPr>
            <w:tcW w:type="dxa" w:w="2452"/>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行為</w:t>
            </w:r>
          </w:p>
        </w:tc>
        <w:tc>
          <w:tcPr>
            <w:tcW w:type="dxa" w:w="2452"/>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30日4/6回覆者自述嘗試</w:t>
            </w:r>
          </w:p>
        </w:tc>
        <w:tc>
          <w:tcPr>
            <w:tcW w:type="dxa" w:w="2452"/>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擬真自陳</w:t>
            </w:r>
          </w:p>
        </w:tc>
        <w:tc>
          <w:tcPr>
            <w:tcW w:type="dxa" w:w="2452"/>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沒有第三方驗證</w:t>
            </w:r>
          </w:p>
        </w:tc>
      </w:tr>
      <w:tr>
        <w:trPr>
          <w:cantSplit/>
        </w:trPr>
        <w:tc>
          <w:tcPr>
            <w:tcW w:type="dxa" w:w="2452"/>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工作／組織</w:t>
            </w:r>
          </w:p>
        </w:tc>
        <w:tc>
          <w:tcPr>
            <w:tcW w:type="dxa" w:w="2452"/>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品質、營收、就業等指標</w:t>
            </w:r>
          </w:p>
        </w:tc>
        <w:tc>
          <w:tcPr>
            <w:tcW w:type="dxa" w:w="2452"/>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協會原件待取得</w:t>
            </w:r>
          </w:p>
        </w:tc>
        <w:tc>
          <w:tcPr>
            <w:tcW w:type="dxa" w:w="2452"/>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目前無法判定</w:t>
            </w:r>
          </w:p>
        </w:tc>
      </w:tr>
      <w:tr>
        <w:trPr>
          <w:cantSplit/>
        </w:trPr>
        <w:tc>
          <w:tcPr>
            <w:tcW w:type="dxa" w:w="2452"/>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財務</w:t>
            </w:r>
          </w:p>
        </w:tc>
        <w:tc>
          <w:tcPr>
            <w:tcW w:type="dxa" w:w="2452"/>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收支差額 NT$1,000</w:t>
            </w:r>
          </w:p>
        </w:tc>
        <w:tc>
          <w:tcPr>
            <w:tcW w:type="dxa" w:w="2452"/>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擬真預算案例</w:t>
            </w:r>
          </w:p>
        </w:tc>
        <w:tc>
          <w:tcPr>
            <w:tcW w:type="dxa" w:w="2452"/>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非協會營業額或實際收支</w:t>
            </w:r>
          </w:p>
        </w:tc>
      </w:tr>
    </w:tbl>
    <w:p>
      <w:pPr>
        <w:spacing w:after="20"/>
      </w:pPr>
    </w:p>
    <w:p>
      <w:pPr>
        <w:pStyle w:val="Heading1"/>
      </w:pPr>
      <w:r>
        <w:rPr>
          <w:rFonts w:ascii="Microsoft JhengHei" w:hAnsi="Microsoft JhengHei" w:eastAsia="Microsoft JhengHei"/>
          <w:b/>
          <w:color w:val="000000"/>
          <w:sz w:val="28"/>
        </w:rPr>
        <w:t>4. 觀察結果</w:t>
      </w:r>
    </w:p>
    <w:p>
      <w:r>
        <w:rPr>
          <w:rFonts w:ascii="Microsoft JhengHei" w:hAnsi="Microsoft JhengHei" w:eastAsia="Microsoft JhengHei"/>
          <w:color w:val="000000"/>
          <w:sz w:val="21"/>
        </w:rPr>
        <w:t>每筆數據標記來源等級：協會原始資料、學員自陳、雇主或政府第三方文件、外部統計。原件尚未取得者維持待取得。</w:t>
      </w:r>
    </w:p>
    <w:p>
      <w:pPr>
        <w:pStyle w:val="Heading1"/>
      </w:pPr>
      <w:r>
        <w:rPr>
          <w:rFonts w:ascii="Microsoft JhengHei" w:hAnsi="Microsoft JhengHei" w:eastAsia="Microsoft JhengHei"/>
          <w:b/>
          <w:color w:val="000000"/>
          <w:sz w:val="28"/>
        </w:rPr>
        <w:t>5. 外部驗證狀態</w:t>
      </w:r>
    </w:p>
    <w:p>
      <w:r>
        <w:rPr>
          <w:rFonts w:ascii="Microsoft JhengHei" w:hAnsi="Microsoft JhengHei" w:eastAsia="Microsoft JhengHei"/>
          <w:color w:val="000000"/>
          <w:sz w:val="21"/>
        </w:rPr>
        <w:t>即使前後有變化，也需檢查其他因素、樣本流失與觀察期間。沒有比較組或穩定基線時，不宣稱因果。</w:t>
      </w:r>
    </w:p>
    <w:p>
      <w:pPr>
        <w:pStyle w:val="Heading1"/>
      </w:pPr>
      <w:r>
        <w:rPr>
          <w:rFonts w:ascii="Microsoft JhengHei" w:hAnsi="Microsoft JhengHei" w:eastAsia="Microsoft JhengHei"/>
          <w:b/>
          <w:color w:val="000000"/>
          <w:sz w:val="28"/>
        </w:rPr>
        <w:t>6. 歸因限制</w:t>
      </w:r>
    </w:p>
    <w:p>
      <w:r>
        <w:rPr>
          <w:rFonts w:ascii="Microsoft JhengHei" w:hAnsi="Microsoft JhengHei" w:eastAsia="Microsoft JhengHei"/>
          <w:color w:val="000000"/>
          <w:sz w:val="21"/>
        </w:rPr>
        <w:t>擬真案例僅有評量與追蹤示例；雇主、服務品質、營收及就業成果均無可用協會原件，故正式結論尚不能成立。</w:t>
      </w:r>
    </w:p>
    <w:p>
      <w:pPr>
        <w:pStyle w:val="Heading1"/>
      </w:pPr>
      <w:r>
        <w:rPr>
          <w:rFonts w:ascii="Microsoft JhengHei" w:hAnsi="Microsoft JhengHei" w:eastAsia="Microsoft JhengHei"/>
          <w:b/>
          <w:color w:val="000000"/>
          <w:sz w:val="28"/>
        </w:rPr>
        <w:t>7. 改善與再測</w:t>
      </w:r>
    </w:p>
    <w:p>
      <w:r>
        <w:rPr>
          <w:rFonts w:ascii="Microsoft JhengHei" w:hAnsi="Microsoft JhengHei" w:eastAsia="Microsoft JhengHei"/>
          <w:color w:val="000000"/>
          <w:sz w:val="21"/>
        </w:rPr>
        <w:t>後續依真實來源更新母表、重算分子分母、覆核附件與限制，再由協會決定是否採用改善方案。</w:t>
      </w:r>
    </w:p>
    <w:p>
      <w:pPr>
        <w:pStyle w:val="Heading1"/>
      </w:pPr>
      <w:r>
        <w:rPr>
          <w:rFonts w:ascii="Microsoft JhengHei" w:hAnsi="Microsoft JhengHei" w:eastAsia="Microsoft JhengHei"/>
          <w:b/>
          <w:color w:val="000000"/>
          <w:sz w:val="28"/>
        </w:rPr>
        <w:t>資料真實性與使用界線</w:t>
      </w:r>
    </w:p>
    <w:p>
      <w:r>
        <w:rPr>
          <w:rFonts w:ascii="Microsoft JhengHei" w:hAnsi="Microsoft JhengHei" w:eastAsia="Microsoft JhengHei"/>
          <w:color w:val="000000"/>
          <w:sz w:val="21"/>
        </w:rPr>
        <w:t>本文件是完整擬真工作稿。凡標示 SIM、匿名代碼、日期、人數、分數、費用、回饋、會議或測試結果，均來自擬真情境母表；不能作協會現況、實際核定、開班或成果證明。</w:t>
      </w:r>
    </w:p>
    <w:p>
      <w:pPr>
        <w:keepNext/>
      </w:pPr>
      <w:r>
        <w:rPr>
          <w:rFonts w:ascii="Microsoft JhengHei" w:hAnsi="Microsoft JhengHei" w:eastAsia="Microsoft JhengHei"/>
          <w:b/>
          <w:color w:val="000000"/>
          <w:sz w:val="20"/>
        </w:rPr>
        <w:t>本文件引用的擬真資料索引</w:t>
      </w:r>
      <w:r>
        <w:rPr>
          <w:rFonts w:ascii="Microsoft JhengHei" w:hAnsi="Microsoft JhengHei" w:eastAsia="Microsoft JhengHei"/>
          <w:color w:val="000000"/>
          <w:sz w:val="20"/>
        </w:rPr>
      </w:r>
    </w:p>
    <w:tbl>
      <w:tblPr>
        <w:tblW w:type="auto" w:w="0"/>
        <w:jc w:val="center"/>
        <w:tblLayout w:type="fixed"/>
        <w:tblLook w:firstColumn="1" w:firstRow="1" w:lastColumn="0" w:lastRow="0" w:noHBand="0" w:noVBand="1" w:val="04A0"/>
      </w:tblPr>
      <w:tblGrid>
        <w:gridCol w:w="2452"/>
        <w:gridCol w:w="2452"/>
        <w:gridCol w:w="2452"/>
        <w:gridCol w:w="2452"/>
      </w:tblGrid>
      <w:tr>
        <w:trPr>
          <w:tblHeader w:val="true"/>
        </w:trPr>
        <w:tc>
          <w:tcPr>
            <w:tcW w:type="dxa" w:w="2452"/>
            <w:shd w:fill="24476B"/>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keepNext/>
              <w:spacing w:after="0"/>
            </w:pPr>
            <w:r/>
            <w:r>
              <w:rPr>
                <w:rFonts w:ascii="Microsoft JhengHei" w:hAnsi="Microsoft JhengHei" w:eastAsia="Microsoft JhengHei"/>
                <w:b/>
                <w:color w:val="FFFFFF"/>
                <w:sz w:val="16"/>
              </w:rPr>
              <w:t>資料ID</w:t>
            </w:r>
          </w:p>
        </w:tc>
        <w:tc>
          <w:tcPr>
            <w:tcW w:type="dxa" w:w="2452"/>
            <w:shd w:fill="24476B"/>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keepNext/>
              <w:spacing w:after="0"/>
            </w:pPr>
            <w:r/>
            <w:r>
              <w:rPr>
                <w:rFonts w:ascii="Microsoft JhengHei" w:hAnsi="Microsoft JhengHei" w:eastAsia="Microsoft JhengHei"/>
                <w:b/>
                <w:color w:val="FFFFFF"/>
                <w:sz w:val="16"/>
              </w:rPr>
              <w:t>欄位</w:t>
            </w:r>
          </w:p>
        </w:tc>
        <w:tc>
          <w:tcPr>
            <w:tcW w:type="dxa" w:w="2452"/>
            <w:shd w:fill="24476B"/>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keepNext/>
              <w:spacing w:after="0"/>
            </w:pPr>
            <w:r/>
            <w:r>
              <w:rPr>
                <w:rFonts w:ascii="Microsoft JhengHei" w:hAnsi="Microsoft JhengHei" w:eastAsia="Microsoft JhengHei"/>
                <w:b/>
                <w:color w:val="FFFFFF"/>
                <w:sz w:val="16"/>
              </w:rPr>
              <w:t>擬真值</w:t>
            </w:r>
          </w:p>
        </w:tc>
        <w:tc>
          <w:tcPr>
            <w:tcW w:type="dxa" w:w="2452"/>
            <w:shd w:fill="24476B"/>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keepNext/>
              <w:spacing w:after="0"/>
            </w:pPr>
            <w:r/>
            <w:r>
              <w:rPr>
                <w:rFonts w:ascii="Microsoft JhengHei" w:hAnsi="Microsoft JhengHei" w:eastAsia="Microsoft JhengHei"/>
                <w:b/>
                <w:color w:val="FFFFFF"/>
                <w:sz w:val="16"/>
              </w:rPr>
              <w:t>正式替換來源</w:t>
            </w:r>
          </w:p>
        </w:tc>
      </w:tr>
      <w:tr>
        <w:trPr>
          <w:cantSplit/>
        </w:trPr>
        <w:tc>
          <w:tcPr>
            <w:tcW w:type="dxa" w:w="2452"/>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SYN-013</w:t>
            </w:r>
          </w:p>
        </w:tc>
        <w:tc>
          <w:tcPr>
            <w:tcW w:type="dxa" w:w="2452"/>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模擬完訓人數</w:t>
            </w:r>
          </w:p>
        </w:tc>
        <w:tc>
          <w:tcPr>
            <w:tcW w:type="dxa" w:w="2452"/>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8位到課者中7位；10位報名者中7位</w:t>
            </w:r>
          </w:p>
        </w:tc>
        <w:tc>
          <w:tcPr>
            <w:tcW w:type="dxa" w:w="2452"/>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核定完訓規則及實際簽到評量。</w:t>
            </w:r>
          </w:p>
        </w:tc>
      </w:tr>
      <w:tr>
        <w:trPr>
          <w:cantSplit/>
        </w:trPr>
        <w:tc>
          <w:tcPr>
            <w:tcW w:type="dxa" w:w="2452"/>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SYN-015</w:t>
            </w:r>
          </w:p>
        </w:tc>
        <w:tc>
          <w:tcPr>
            <w:tcW w:type="dxa" w:w="2452"/>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模擬後測分數</w:t>
            </w:r>
          </w:p>
        </w:tc>
        <w:tc>
          <w:tcPr>
            <w:tcW w:type="dxa" w:w="2452"/>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SIM01=78、SIM02=72、SIM03=85、SIM04=82、SIM05=70、SIM06=88、SIM07=74、SIM08=65；平均76.75分；平均增加15.50分</w:t>
            </w:r>
          </w:p>
        </w:tc>
        <w:tc>
          <w:tcPr>
            <w:tcW w:type="dxa" w:w="2452"/>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匿名化原始後測卷、配對及計分底稿。</w:t>
            </w:r>
          </w:p>
        </w:tc>
      </w:tr>
      <w:tr>
        <w:trPr>
          <w:cantSplit/>
        </w:trPr>
        <w:tc>
          <w:tcPr>
            <w:tcW w:type="dxa" w:w="2452"/>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SYN-016</w:t>
            </w:r>
          </w:p>
        </w:tc>
        <w:tc>
          <w:tcPr>
            <w:tcW w:type="dxa" w:w="2452"/>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模擬實作結果</w:t>
            </w:r>
          </w:p>
        </w:tc>
        <w:tc>
          <w:tcPr>
            <w:tcW w:type="dxa" w:w="2452"/>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6位達標、1位待補救、1位未完成</w:t>
            </w:r>
          </w:p>
        </w:tc>
        <w:tc>
          <w:tcPr>
            <w:tcW w:type="dxa" w:w="2452"/>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核定評量量規、評分者紀錄與補救／再測資料。</w:t>
            </w:r>
          </w:p>
        </w:tc>
      </w:tr>
      <w:tr>
        <w:trPr>
          <w:cantSplit/>
        </w:trPr>
        <w:tc>
          <w:tcPr>
            <w:tcW w:type="dxa" w:w="2452"/>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SYN-026</w:t>
            </w:r>
          </w:p>
        </w:tc>
        <w:tc>
          <w:tcPr>
            <w:tcW w:type="dxa" w:w="2452"/>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模擬30日追蹤</w:t>
            </w:r>
          </w:p>
        </w:tc>
        <w:tc>
          <w:tcPr>
            <w:tcW w:type="dxa" w:w="2452"/>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聯繫7位完訓者；6份回覆；其中4位自述嘗試一項學習行動、2位尚未嘗試</w:t>
            </w:r>
          </w:p>
        </w:tc>
        <w:tc>
          <w:tcPr>
            <w:tcW w:type="dxa" w:w="2452"/>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實際同意名單、聯繫紀錄及追蹤回覆。</w:t>
            </w:r>
          </w:p>
        </w:tc>
      </w:tr>
      <w:tr>
        <w:trPr>
          <w:cantSplit/>
        </w:trPr>
        <w:tc>
          <w:tcPr>
            <w:tcW w:type="dxa" w:w="2452"/>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SYN-027</w:t>
            </w:r>
          </w:p>
        </w:tc>
        <w:tc>
          <w:tcPr>
            <w:tcW w:type="dxa" w:w="2452"/>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模擬60日追蹤</w:t>
            </w:r>
          </w:p>
        </w:tc>
        <w:tc>
          <w:tcPr>
            <w:tcW w:type="dxa" w:w="2452"/>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聯繫7位完訓者；5份回覆；3位自述重複使用、2位自述使用一次</w:t>
            </w:r>
          </w:p>
        </w:tc>
        <w:tc>
          <w:tcPr>
            <w:tcW w:type="dxa" w:w="2452"/>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實際同意名單、追蹤回覆及第三方授權原件。</w:t>
            </w:r>
          </w:p>
        </w:tc>
      </w:tr>
    </w:tbl>
    <w:p>
      <w:pPr>
        <w:spacing w:after="20"/>
      </w:pPr>
    </w:p>
    <w:p>
      <w:pPr>
        <w:pStyle w:val="Heading1"/>
      </w:pPr>
      <w:r>
        <w:rPr>
          <w:rFonts w:ascii="Microsoft JhengHei" w:hAnsi="Microsoft JhengHei" w:eastAsia="Microsoft JhengHei"/>
          <w:b/>
          <w:color w:val="000000"/>
          <w:sz w:val="28"/>
        </w:rPr>
        <w:t>來源與依據</w:t>
      </w:r>
    </w:p>
    <w:p>
      <w:pPr>
        <w:keepNext/>
      </w:pPr>
      <w:r>
        <w:rPr>
          <w:rFonts w:ascii="Microsoft JhengHei" w:hAnsi="Microsoft JhengHei" w:eastAsia="Microsoft JhengHei"/>
          <w:b/>
          <w:color w:val="000000"/>
          <w:sz w:val="20"/>
        </w:rPr>
        <w:t>來源清單與限制</w:t>
      </w:r>
      <w:r>
        <w:rPr>
          <w:rFonts w:ascii="Microsoft JhengHei" w:hAnsi="Microsoft JhengHei" w:eastAsia="Microsoft JhengHei"/>
          <w:color w:val="000000"/>
          <w:sz w:val="20"/>
        </w:rPr>
      </w:r>
    </w:p>
    <w:tbl>
      <w:tblPr>
        <w:tblW w:type="auto" w:w="0"/>
        <w:jc w:val="center"/>
        <w:tblLayout w:type="fixed"/>
        <w:tblLook w:firstColumn="1" w:firstRow="1" w:lastColumn="0" w:lastRow="0" w:noHBand="0" w:noVBand="1" w:val="04A0"/>
      </w:tblPr>
      <w:tblGrid>
        <w:gridCol w:w="3269"/>
        <w:gridCol w:w="3269"/>
        <w:gridCol w:w="3269"/>
      </w:tblGrid>
      <w:tr>
        <w:trPr>
          <w:tblHeader w:val="true"/>
        </w:trPr>
        <w:tc>
          <w:tcPr>
            <w:tcW w:type="dxa" w:w="3269"/>
            <w:shd w:fill="24476B"/>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keepNext/>
              <w:spacing w:after="0"/>
            </w:pPr>
            <w:r/>
            <w:r>
              <w:rPr>
                <w:rFonts w:ascii="Microsoft JhengHei" w:hAnsi="Microsoft JhengHei" w:eastAsia="Microsoft JhengHei"/>
                <w:b/>
                <w:color w:val="FFFFFF"/>
                <w:sz w:val="18"/>
              </w:rPr>
              <w:t>來源類別</w:t>
            </w:r>
          </w:p>
        </w:tc>
        <w:tc>
          <w:tcPr>
            <w:tcW w:type="dxa" w:w="3269"/>
            <w:shd w:fill="24476B"/>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keepNext/>
              <w:spacing w:after="0"/>
            </w:pPr>
            <w:r/>
            <w:r>
              <w:rPr>
                <w:rFonts w:ascii="Microsoft JhengHei" w:hAnsi="Microsoft JhengHei" w:eastAsia="Microsoft JhengHei"/>
                <w:b/>
                <w:color w:val="FFFFFF"/>
                <w:sz w:val="18"/>
              </w:rPr>
              <w:t>來源名稱／位置</w:t>
            </w:r>
          </w:p>
        </w:tc>
        <w:tc>
          <w:tcPr>
            <w:tcW w:type="dxa" w:w="3269"/>
            <w:shd w:fill="24476B"/>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keepNext/>
              <w:spacing w:after="0"/>
            </w:pPr>
            <w:r/>
            <w:r>
              <w:rPr>
                <w:rFonts w:ascii="Microsoft JhengHei" w:hAnsi="Microsoft JhengHei" w:eastAsia="Microsoft JhengHei"/>
                <w:b/>
                <w:color w:val="FFFFFF"/>
                <w:sz w:val="18"/>
              </w:rPr>
              <w:t>使用方式與限制</w:t>
            </w:r>
          </w:p>
        </w:tc>
      </w:tr>
      <w:tr>
        <w:trPr>
          <w:cantSplit/>
        </w:trPr>
        <w:tc>
          <w:tcPr>
            <w:tcW w:type="dxa" w:w="3269"/>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官方逐項來源</w:t>
            </w:r>
          </w:p>
        </w:tc>
        <w:tc>
          <w:tcPr>
            <w:tcW w:type="dxa" w:w="3269"/>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TTQS查核佐證文件資料表－訓練機構版；現行原件9頁；本項頁次 7</w:t>
            </w:r>
          </w:p>
        </w:tc>
        <w:tc>
          <w:tcPr>
            <w:tcW w:type="dxa" w:w="3269"/>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官方例示；內部文件分流依 V4 合約</w:t>
            </w:r>
          </w:p>
        </w:tc>
      </w:tr>
      <w:tr>
        <w:trPr>
          <w:cantSplit/>
        </w:trPr>
        <w:tc>
          <w:tcPr>
            <w:tcW w:type="dxa" w:w="3269"/>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評核語義</w:t>
            </w:r>
          </w:p>
        </w:tc>
        <w:tc>
          <w:tcPr>
            <w:tcW w:type="dxa" w:w="3269"/>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TTQS人才發展品質管理評核表－訓練機構版</w:t>
            </w:r>
          </w:p>
        </w:tc>
        <w:tc>
          <w:tcPr>
            <w:tcW w:type="dxa" w:w="3269"/>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指標12、17子項依現行評核表；18、19分數層級僅作參考例示</w:t>
            </w:r>
          </w:p>
        </w:tc>
      </w:tr>
      <w:tr>
        <w:trPr>
          <w:cantSplit/>
        </w:trPr>
        <w:tc>
          <w:tcPr>
            <w:tcW w:type="dxa" w:w="3269"/>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協會名稱與方向</w:t>
            </w:r>
          </w:p>
        </w:tc>
        <w:tc>
          <w:tcPr>
            <w:tcW w:type="dxa" w:w="3269"/>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本次人類任務指示</w:t>
            </w:r>
          </w:p>
        </w:tc>
        <w:tc>
          <w:tcPr>
            <w:tcW w:type="dxa" w:w="3269"/>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使用者提供，未獨立查證；不是課程核准或執行證明</w:t>
            </w:r>
          </w:p>
        </w:tc>
      </w:tr>
      <w:tr>
        <w:trPr>
          <w:cantSplit/>
        </w:trPr>
        <w:tc>
          <w:tcPr>
            <w:tcW w:type="dxa" w:w="3269"/>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歷史文件參考</w:t>
            </w:r>
          </w:p>
        </w:tc>
        <w:tc>
          <w:tcPr>
            <w:tcW w:type="dxa" w:w="3269"/>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TTQS歷史文件（已讀；只供結構參考，不作現況、核定或成果證據）</w:t>
            </w:r>
          </w:p>
        </w:tc>
        <w:tc>
          <w:tcPr>
            <w:tcW w:type="dxa" w:w="3269"/>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僅供結構或修訂沿革；不作現況、核定或成果證據</w:t>
            </w:r>
          </w:p>
        </w:tc>
      </w:tr>
    </w:tbl>
    <w:p>
      <w:pPr>
        <w:spacing w:after="20"/>
      </w:pPr>
    </w:p>
    <w:sectPr w:rsidR="00FC693F" w:rsidRPr="0006063C" w:rsidSect="00034616">
      <w:headerReference w:type="default" r:id="rId9"/>
      <w:footerReference w:type="default" r:id="rId10"/>
      <w:pgSz w:w="11906" w:h="16838"/>
      <w:pgMar w:top="1020" w:right="1049" w:bottom="964" w:left="104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Microsoft JhengHei" w:hAnsi="Microsoft JhengHei" w:eastAsia="Microsoft JhengHei"/>
        <w:color w:val="555555"/>
        <w:sz w:val="17"/>
      </w:rPr>
      <w:t xml:space="preserve">OFR-114-D01　　頁次 </w:t>
    </w:r>
    <w:r>
      <w:rPr>
        <w:rFonts w:ascii="Microsoft JhengHei" w:hAnsi="Microsoft JhengHei" w:eastAsia="Microsoft JhengHei"/>
        <w:color w:val="555555"/>
        <w:sz w:val="17"/>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Microsoft JhengHei" w:hAnsi="Microsoft JhengHei" w:eastAsia="Microsoft JhengHei"/>
        <w:color w:val="555555"/>
        <w:sz w:val="17"/>
      </w:rPr>
      <w:t>社團法人屏東縣原始點關懷協會　｜　TTQS 工作文件</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Microsoft JhengHei" w:hAnsi="Microsoft JhengHei" w:eastAsia="Microsoft JhengHe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JhengHei" w:hAnsi="Microsoft JhengHei" w:eastAsia="Microsoft JhengHe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JhengHei" w:hAnsi="Microsoft JhengHei" w:eastAsia="Microsoft JhengHei"/>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300" w:line="240" w:lineRule="auto"/>
      <w:contextualSpacing/>
    </w:pPr>
    <w:rPr>
      <w:rFonts w:asciiTheme="majorHAnsi" w:eastAsiaTheme="majorEastAsia" w:hAnsiTheme="majorHAnsi" w:cstheme="majorBidi" w:ascii="Microsoft JhengHei" w:hAnsi="Microsoft JhengHei" w:eastAsia="Microsoft JhengHei"/>
      <w:b/>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