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顧客價值分析報告</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直接回應官方方框：問卷調查及課後行動計畫評估表等顯示目標客戶及學員認為訓練對組織績效的改善及提升均有顯著的效果。。本文件功能為「顧客價值分析報告」，不以索引或通用摘要代替正文。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本文件以「顧客價值分析報告」格式完整回應本項官方要求，並說明作業、判斷、資料來源與正式採用條件。</w:t>
      </w:r>
    </w:p>
    <w:p>
      <w:pPr>
        <w:pStyle w:val="Heading1"/>
      </w:pPr>
      <w:r>
        <w:rPr>
          <w:rFonts w:ascii="Microsoft JhengHei" w:hAnsi="Microsoft JhengHei" w:eastAsia="Microsoft JhengHei"/>
          <w:b/>
          <w:color w:val="000000"/>
          <w:sz w:val="28"/>
        </w:rPr>
        <w:t>1. 客戶及學員主張</w:t>
      </w:r>
    </w:p>
    <w:p>
      <w:r>
        <w:rPr>
          <w:rFonts w:ascii="Microsoft JhengHei" w:hAnsi="Microsoft JhengHei" w:eastAsia="Microsoft JhengHei"/>
          <w:color w:val="000000"/>
          <w:sz w:val="21"/>
        </w:rPr>
        <w:t>本報告把學員與客戶可感受到的課程價值拆成需求、體驗、學習、後續使用及組織結果，不把一種問卷分數當成全部價值。</w:t>
      </w:r>
    </w:p>
    <w:p>
      <w:pPr>
        <w:pStyle w:val="Heading1"/>
      </w:pPr>
      <w:r>
        <w:rPr>
          <w:rFonts w:ascii="Microsoft JhengHei" w:hAnsi="Microsoft JhengHei" w:eastAsia="Microsoft JhengHei"/>
          <w:b/>
          <w:color w:val="000000"/>
          <w:sz w:val="28"/>
        </w:rPr>
        <w:t>2. 價值指標與口徑</w:t>
      </w:r>
    </w:p>
    <w:p>
      <w:r>
        <w:rPr>
          <w:rFonts w:ascii="Microsoft JhengHei" w:hAnsi="Microsoft JhengHei" w:eastAsia="Microsoft JhengHei"/>
          <w:color w:val="000000"/>
          <w:sz w:val="21"/>
        </w:rPr>
        <w:t>先定義受益者、課程主張、觀察期間及可驗證指標。若沒有真實基線或外部證據，對價值成效只作待驗證判讀。</w:t>
      </w:r>
    </w:p>
    <w:p>
      <w:pPr>
        <w:pStyle w:val="Heading1"/>
      </w:pPr>
      <w:r>
        <w:rPr>
          <w:rFonts w:ascii="Microsoft JhengHei" w:hAnsi="Microsoft JhengHei" w:eastAsia="Microsoft JhengHei"/>
          <w:b/>
          <w:color w:val="000000"/>
          <w:sz w:val="28"/>
        </w:rPr>
        <w:t>3. 期間及母體</w:t>
      </w:r>
    </w:p>
    <w:p>
      <w:r>
        <w:rPr>
          <w:rFonts w:ascii="Microsoft JhengHei" w:hAnsi="Microsoft JhengHei" w:eastAsia="Microsoft JhengHei"/>
          <w:color w:val="000000"/>
          <w:sz w:val="21"/>
        </w:rPr>
        <w:t>學員回饋可呈現內容適切、教材、安排與安全感；不同角色的意見分開彙整，不將少數回覆擴大成全體共識。</w:t>
      </w:r>
    </w:p>
    <w:p>
      <w:pPr>
        <w:keepNext/>
      </w:pPr>
      <w:r>
        <w:rPr>
          <w:rFonts w:ascii="Microsoft JhengHei" w:hAnsi="Microsoft JhengHei" w:eastAsia="Microsoft JhengHei"/>
          <w:b/>
          <w:color w:val="000000"/>
          <w:sz w:val="20"/>
        </w:rPr>
        <w:t>顧客價值證據分層</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價值層次</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擬真或待取得證據</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可支持的判讀</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不能支持的判讀</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課程反應</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均分4.14/5；7份回覆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示例回覆者反應</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全體或市場滿意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學習</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前後測差+15.50分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示例測驗變化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臨床能力或因果效果</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行為應用</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30／60日自陳追蹤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示例自我報告</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雇主認證</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組織／顧客成果</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原件待取得</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目前無法判定</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品質或營收提升</w:t>
            </w:r>
          </w:p>
        </w:tc>
      </w:tr>
    </w:tbl>
    <w:p>
      <w:pPr>
        <w:spacing w:after="20"/>
      </w:pPr>
    </w:p>
    <w:p>
      <w:pPr>
        <w:pStyle w:val="Heading1"/>
      </w:pPr>
      <w:r>
        <w:rPr>
          <w:rFonts w:ascii="Microsoft JhengHei" w:hAnsi="Microsoft JhengHei" w:eastAsia="Microsoft JhengHei"/>
          <w:b/>
          <w:color w:val="000000"/>
          <w:sz w:val="28"/>
        </w:rPr>
        <w:t>4. 調查與第三方來源</w:t>
      </w:r>
    </w:p>
    <w:p>
      <w:r>
        <w:rPr>
          <w:rFonts w:ascii="Microsoft JhengHei" w:hAnsi="Microsoft JhengHei" w:eastAsia="Microsoft JhengHei"/>
          <w:color w:val="000000"/>
          <w:sz w:val="21"/>
        </w:rPr>
        <w:t>擬真案例的反應分數、前後測及自陳行為追蹤各代表不同層次。需保留其分母和來源限制，不作單一價值指數。</w:t>
      </w:r>
    </w:p>
    <w:p>
      <w:pPr>
        <w:pStyle w:val="Heading1"/>
      </w:pPr>
      <w:r>
        <w:rPr>
          <w:rFonts w:ascii="Microsoft JhengHei" w:hAnsi="Microsoft JhengHei" w:eastAsia="Microsoft JhengHei"/>
          <w:b/>
          <w:color w:val="000000"/>
          <w:sz w:val="28"/>
        </w:rPr>
        <w:t>5. 結果分層</w:t>
      </w:r>
    </w:p>
    <w:p>
      <w:r>
        <w:rPr>
          <w:rFonts w:ascii="Microsoft JhengHei" w:hAnsi="Microsoft JhengHei" w:eastAsia="Microsoft JhengHei"/>
          <w:color w:val="000000"/>
          <w:sz w:val="21"/>
        </w:rPr>
        <w:t>外部雇主、客戶或服務對象資料需有合法授權及原始來源。沒有原件時不得寫成工作績效或顧客改善。</w:t>
      </w:r>
    </w:p>
    <w:p>
      <w:pPr>
        <w:pStyle w:val="Heading1"/>
      </w:pPr>
      <w:r>
        <w:rPr>
          <w:rFonts w:ascii="Microsoft JhengHei" w:hAnsi="Microsoft JhengHei" w:eastAsia="Microsoft JhengHei"/>
          <w:b/>
          <w:color w:val="000000"/>
          <w:sz w:val="28"/>
        </w:rPr>
        <w:t>6. 限制與歸因</w:t>
      </w:r>
    </w:p>
    <w:p>
      <w:r>
        <w:rPr>
          <w:rFonts w:ascii="Microsoft JhengHei" w:hAnsi="Microsoft JhengHei" w:eastAsia="Microsoft JhengHei"/>
          <w:color w:val="000000"/>
          <w:sz w:val="21"/>
        </w:rPr>
        <w:t>依證據強度說明價值：使用者意見、測驗、持續行為、第三方驗證分層呈現。因果只能在設計和資料足夠時討論。</w:t>
      </w:r>
    </w:p>
    <w:p>
      <w:pPr>
        <w:pStyle w:val="Heading1"/>
      </w:pPr>
      <w:r>
        <w:rPr>
          <w:rFonts w:ascii="Microsoft JhengHei" w:hAnsi="Microsoft JhengHei" w:eastAsia="Microsoft JhengHei"/>
          <w:b/>
          <w:color w:val="000000"/>
          <w:sz w:val="28"/>
        </w:rPr>
        <w:t>7. 後續驗證</w:t>
      </w:r>
    </w:p>
    <w:p>
      <w:r>
        <w:rPr>
          <w:rFonts w:ascii="Microsoft JhengHei" w:hAnsi="Microsoft JhengHei" w:eastAsia="Microsoft JhengHei"/>
          <w:color w:val="000000"/>
          <w:sz w:val="21"/>
        </w:rPr>
        <w:t>後續改進先處理對象明確且可驗證的需求，記錄責任、期限與下一輪量測方式。</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SYN-013</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模擬完訓人數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8位到課者中7位；10位報名者中7位</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核定完訓規則及實際簽到評量。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SYN-018</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模擬整體評分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7份評分為5、4、4、4、5、3、4；平均4.14／5分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匿名原始問卷與重算底稿。</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模擬優先回饋</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7份回覆中6份希望增加引導練習；4份希望提早取得教材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原始問卷及回饋編碼表。</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SYN-026</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模擬30日追蹤</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聯繫7位完訓者；6份回覆；其中4位自述嘗試一項學習行動、2位尚未嘗試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實際同意名單、聯繫紀錄及追蹤回覆。</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模擬60日追蹤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聯繫7位完訓者；5份回覆；3位自述重複使用、2位自述使用一次</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實際同意名單、追蹤回覆及第三方授權原件。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