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可填寫表單</w:t>
      </w:r>
    </w:p>
    <w:p>
      <w:r>
        <w:rPr>
          <w:rFonts w:ascii="Microsoft JhengHei" w:hAnsi="Microsoft JhengHei" w:eastAsia="Microsoft JhengHei"/>
          <w:color w:val="000000"/>
          <w:sz w:val="22"/>
        </w:rPr>
        <w:t>直接回應官方方框：問卷調查及課後行動計畫評估表等顯示目標客戶及學員認為訓練對組織績效的改善及提升均有顯著的效果。。本文件功能為「可填寫表單」，不以索引或通用摘要代替正文。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OFR-120-D02</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官方編號：OFR-120　｜　官方方框文字：問卷調查及課後行動計畫評估表等顯示目標客戶及學員認為訓練對組織績效的改善及提升均有顯著的效果。</w:t>
      </w:r>
    </w:p>
    <w:p>
      <w:r>
        <w:rPr>
          <w:rFonts w:ascii="Microsoft JhengHei" w:hAnsi="Microsoft JhengHei" w:eastAsia="Microsoft JhengHei"/>
          <w:color w:val="000000"/>
          <w:sz w:val="21"/>
        </w:rPr>
        <w:t>本文件以「可填寫表單」格式完整回應本項官方要求，並說明作業、判斷、資料來源與正式採用條件。</w:t>
      </w:r>
    </w:p>
    <w:p>
      <w:pPr>
        <w:pStyle w:val="Heading1"/>
      </w:pPr>
      <w:r>
        <w:rPr>
          <w:rFonts w:ascii="Microsoft JhengHei" w:hAnsi="Microsoft JhengHei" w:eastAsia="Microsoft JhengHei"/>
          <w:b/>
          <w:color w:val="000000"/>
          <w:sz w:val="28"/>
        </w:rPr>
        <w:t>1. 填寫指引</w:t>
      </w:r>
    </w:p>
    <w:p>
      <w:r>
        <w:rPr>
          <w:rFonts w:ascii="Microsoft JhengHei" w:hAnsi="Microsoft JhengHei" w:eastAsia="Microsoft JhengHei"/>
          <w:color w:val="000000"/>
          <w:sz w:val="21"/>
        </w:rPr>
        <w:t>本表單供逐筆記錄本指標所需資訊。填寫者先讀欄位定義，再依原始資料填寫；本表本身是空白工具，完整完成示例另見同組示範文件。</w:t>
      </w:r>
    </w:p>
    <w:p>
      <w:pPr>
        <w:pStyle w:val="Heading1"/>
      </w:pPr>
      <w:r>
        <w:rPr>
          <w:rFonts w:ascii="Microsoft JhengHei" w:hAnsi="Microsoft JhengHei" w:eastAsia="Microsoft JhengHei"/>
          <w:b/>
          <w:color w:val="000000"/>
          <w:sz w:val="28"/>
        </w:rPr>
        <w:t>2. 基本欄位</w:t>
      </w:r>
    </w:p>
    <w:p>
      <w:r>
        <w:rPr>
          <w:rFonts w:ascii="Microsoft JhengHei" w:hAnsi="Microsoft JhengHei" w:eastAsia="Microsoft JhengHei"/>
          <w:color w:val="000000"/>
          <w:sz w:val="21"/>
        </w:rPr>
        <w:t>每份紀錄至少包括文件編號、適用日期、課程或案件、填寫角色、資料來源及版本。若來源不存在，明寫待取得，不以推估值代替。</w:t>
      </w:r>
    </w:p>
    <w:p>
      <w:pPr>
        <w:pStyle w:val="Heading1"/>
      </w:pPr>
      <w:r>
        <w:rPr>
          <w:rFonts w:ascii="Microsoft JhengHei" w:hAnsi="Microsoft JhengHei" w:eastAsia="Microsoft JhengHei"/>
          <w:b/>
          <w:color w:val="000000"/>
          <w:sz w:val="28"/>
        </w:rPr>
        <w:t>3. 逐項欄位</w:t>
      </w:r>
    </w:p>
    <w:p>
      <w:r>
        <w:rPr>
          <w:rFonts w:ascii="Microsoft JhengHei" w:hAnsi="Microsoft JhengHei" w:eastAsia="Microsoft JhengHei"/>
          <w:color w:val="000000"/>
          <w:sz w:val="21"/>
        </w:rPr>
        <w:t>逐項欄位以官方要求拆分，分別記錄範圍、證據、判讀、缺口、處理方式與附件索引；需要多筆資料時可複製明細列。</w:t>
      </w:r>
    </w:p>
    <w:p>
      <w:pPr>
        <w:keepNext/>
      </w:pPr>
      <w:r>
        <w:rPr>
          <w:rFonts w:ascii="Microsoft JhengHei" w:hAnsi="Microsoft JhengHei" w:eastAsia="Microsoft JhengHei"/>
          <w:b/>
          <w:color w:val="000000"/>
          <w:sz w:val="20"/>
        </w:rPr>
        <w:t>欄位與填寫方式</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欄位</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如何填寫</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覆核重點</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文件／案件編號</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適用課程或期間</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官方項目對應</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資料來源名稱與日期</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逐項事實或判讀</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附件編號／頁碼</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待補缺口與處理期限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填寫角色／日期</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覆核角色／日期</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核定狀態／文號</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bl>
    <w:p>
      <w:pPr>
        <w:spacing w:after="20"/>
      </w:pPr>
    </w:p>
    <w:p>
      <w:pPr>
        <w:pStyle w:val="Heading1"/>
      </w:pPr>
      <w:r>
        <w:rPr>
          <w:rFonts w:ascii="Microsoft JhengHei" w:hAnsi="Microsoft JhengHei" w:eastAsia="Microsoft JhengHei"/>
          <w:b/>
          <w:color w:val="000000"/>
          <w:sz w:val="28"/>
        </w:rPr>
        <w:t>4. 勾選／量尺／開放題</w:t>
      </w:r>
    </w:p>
    <w:p>
      <w:r>
        <w:rPr>
          <w:rFonts w:ascii="Microsoft JhengHei" w:hAnsi="Microsoft JhengHei" w:eastAsia="Microsoft JhengHei"/>
          <w:color w:val="000000"/>
          <w:sz w:val="21"/>
        </w:rPr>
        <w:t>單選題明列選項，多選題註明可複選，量尺題說明端點，開放題提醒避免蒐集不必要個資。欄位不得只填勾選而未說明證據來源。</w:t>
      </w:r>
    </w:p>
    <w:p>
      <w:pPr>
        <w:pStyle w:val="Heading1"/>
      </w:pPr>
      <w:r>
        <w:rPr>
          <w:rFonts w:ascii="Microsoft JhengHei" w:hAnsi="Microsoft JhengHei" w:eastAsia="Microsoft JhengHei"/>
          <w:b/>
          <w:color w:val="000000"/>
          <w:sz w:val="28"/>
        </w:rPr>
        <w:t>5. 覆核欄</w:t>
      </w:r>
    </w:p>
    <w:p>
      <w:r>
        <w:rPr>
          <w:rFonts w:ascii="Microsoft JhengHei" w:hAnsi="Microsoft JhengHei" w:eastAsia="Microsoft JhengHei"/>
          <w:color w:val="000000"/>
          <w:sz w:val="21"/>
        </w:rPr>
        <w:t>填寫完成後由另一角色核對計算、附件與版本。核定欄只在實際審議後填寫，未審議前保留『待核定』狀態。</w:t>
      </w:r>
    </w:p>
    <w:p>
      <w:pPr>
        <w:pStyle w:val="Heading1"/>
      </w:pPr>
      <w:r>
        <w:rPr>
          <w:rFonts w:ascii="Microsoft JhengHei" w:hAnsi="Microsoft JhengHei" w:eastAsia="Microsoft JhengHei"/>
          <w:b/>
          <w:color w:val="000000"/>
          <w:sz w:val="28"/>
        </w:rPr>
        <w:t>6. 資料使用及保存說明</w:t>
      </w:r>
    </w:p>
    <w:p>
      <w:r>
        <w:rPr>
          <w:rFonts w:ascii="Microsoft JhengHei" w:hAnsi="Microsoft JhengHei" w:eastAsia="Microsoft JhengHei"/>
          <w:color w:val="000000"/>
          <w:sz w:val="21"/>
        </w:rPr>
        <w:t>資料只供明確品質管理目的使用，限制存取並按協會核定保存規則保管。個人資料只蒐集必要欄位；過期或用途完成後依規定處理。</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7</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OFR-120-D02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