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成果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市場競爭力、營業額、工作流程、成本控制或客訴率等營運表現（財務面）。。本文件功能為「成果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2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2　｜　官方方框文字：提出市場競爭力、營業額、工作流程、成本控制或客訴率等營運表現（財務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成果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組織／工作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成果評估連結訓練與工作或組織需求，但必須說明資料來源、觀察期間及可歸因程度。擬真資料不能代表協會已達成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線與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基線、目標、觀察單位和期間；缺少基線時列為待建立，不用回憶或估計補值。指標須可由原始紀錄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指標定義及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可用學員學習、工作應用、雇主觀察、服務品質及成本等不同層次指標，分開報告，不將課後自評等同組織績效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成果指標及證據狀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判讀限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平均差 +15.50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測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只示範計算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日4/6回覆者自述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自陳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沒有第三方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／組織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、營收、就業等指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支差額 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預算案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協會營業額或實際收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觀察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每筆數據標記來源等級：協會原始資料、學員自陳、雇主或政府第三方文件、外部統計。原件尚未取得者維持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外部驗證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即使前後有變化，也需檢查其他因素、樣本流失與觀察期間。沒有比較組或穩定基線時，不宣稱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歸因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僅有評量與追蹤示例；雇主、服務品質、營收及就業成果均無可用協會原件，故正式結論尚不能成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依真實來源更新母表、重算分子分母、覆核附件與限制，再由協會決定是否採用改善方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2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