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市場與顧客價值成果報告</w:t>
      </w:r>
    </w:p>
    <w:p>
      <w:r>
        <w:rPr>
          <w:rFonts w:ascii="Microsoft JhengHei" w:hAnsi="Microsoft JhengHei" w:eastAsia="Microsoft JhengHei"/>
          <w:color w:val="000000"/>
          <w:sz w:val="22"/>
        </w:rPr>
        <w:t>直接回應官方方框：經營績效中之數據呈現目標市場及顧客價值均有顯著具體的提升績效。。本文件功能為「市場與顧客價值成果報告」，不以索引或通用摘要代替正文。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OFR-149-D01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指標19／第8頁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官方編號：OFR-149　｜　官方方框文字：經營績效中之數據呈現目標市場及顧客價值均有顯著具體的提升績效。</w:t>
      </w:r>
    </w:p>
    <w:p>
      <w:r>
        <w:rPr>
          <w:rFonts w:ascii="Microsoft JhengHei" w:hAnsi="Microsoft JhengHei" w:eastAsia="Microsoft JhengHei"/>
          <w:color w:val="000000"/>
          <w:sz w:val="21"/>
        </w:rPr>
        <w:t>本文件以「市場與顧客價值成果報告」格式完整回應本項官方要求，並說明作業、判斷、資料來源與正式採用條件。</w:t>
      </w:r>
    </w:p>
    <w:p>
      <w:pPr>
        <w:pStyle w:val="Heading1"/>
      </w:pPr>
      <w:r>
        <w:rPr>
          <w:rFonts w:ascii="Microsoft JhengHei" w:hAnsi="Microsoft JhengHei" w:eastAsia="Microsoft JhengHei"/>
          <w:b/>
          <w:color w:val="000000"/>
          <w:sz w:val="28"/>
        </w:rPr>
        <w:t>1. 目標市場界定</w:t>
      </w:r>
    </w:p>
    <w:p>
      <w:r>
        <w:rPr>
          <w:rFonts w:ascii="Microsoft JhengHei" w:hAnsi="Microsoft JhengHei" w:eastAsia="Microsoft JhengHei"/>
          <w:color w:val="000000"/>
          <w:sz w:val="21"/>
        </w:rPr>
        <w:t>市場價值檢視課程是否回應目標市場需求，以及協會是否有可持續的服務模式。沒有實際招生與經營原件時，不宣稱市場成果或營收成長。</w:t>
      </w:r>
    </w:p>
    <w:p>
      <w:pPr>
        <w:pStyle w:val="Heading1"/>
      </w:pPr>
      <w:r>
        <w:rPr>
          <w:rFonts w:ascii="Microsoft JhengHei" w:hAnsi="Microsoft JhengHei" w:eastAsia="Microsoft JhengHei"/>
          <w:b/>
          <w:color w:val="000000"/>
          <w:sz w:val="28"/>
        </w:rPr>
        <w:t>2. 價值主張</w:t>
      </w:r>
    </w:p>
    <w:p>
      <w:r>
        <w:rPr>
          <w:rFonts w:ascii="Microsoft JhengHei" w:hAnsi="Microsoft JhengHei" w:eastAsia="Microsoft JhengHei"/>
          <w:color w:val="000000"/>
          <w:sz w:val="21"/>
        </w:rPr>
        <w:t>市場範圍須明確界定地區、對象、期間與資料來源。擬真問卷不代表全縣需求或市場占有率。</w:t>
      </w:r>
    </w:p>
    <w:p>
      <w:pPr>
        <w:pStyle w:val="Heading1"/>
      </w:pPr>
      <w:r>
        <w:rPr>
          <w:rFonts w:ascii="Microsoft JhengHei" w:hAnsi="Microsoft JhengHei" w:eastAsia="Microsoft JhengHei"/>
          <w:b/>
          <w:color w:val="000000"/>
          <w:sz w:val="28"/>
        </w:rPr>
        <w:t>3. 市場觸及與需求</w:t>
      </w:r>
    </w:p>
    <w:p>
      <w:r>
        <w:rPr>
          <w:rFonts w:ascii="Microsoft JhengHei" w:hAnsi="Microsoft JhengHei" w:eastAsia="Microsoft JhengHei"/>
          <w:color w:val="000000"/>
          <w:sz w:val="21"/>
        </w:rPr>
        <w:t>價值主張需回應健康教育及非醫療服務安全的核心，同時將延伸課程留給實際需求與能力評估。</w:t>
      </w:r>
    </w:p>
    <w:p>
      <w:pPr>
        <w:keepNext/>
      </w:pPr>
      <w:r>
        <w:rPr>
          <w:rFonts w:ascii="Microsoft JhengHei" w:hAnsi="Microsoft JhengHei" w:eastAsia="Microsoft JhengHei"/>
          <w:b/>
          <w:color w:val="000000"/>
          <w:sz w:val="20"/>
        </w:rPr>
        <w:t>市場需求與價值指標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維度</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示例／指標</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分母或來源</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正式化條件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核心需求</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健康教育與非醫療安全主題興趣</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擬真多選 n=20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真實問卷及樣本限制</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參與可行性</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時段、長度與價格區間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擬真調查各題 n=20</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成本與實際報名資料</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服務漏斗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接觸→詢問→報名→出席→完成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目前協會原件待取得</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同一期間原始記錄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市場價值</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營收、就業、公益、合作成果</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第三方／財務原件待取得</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核實來源後再計算趨勢</w:t>
            </w:r>
          </w:p>
        </w:tc>
      </w:tr>
    </w:tbl>
    <w:p>
      <w:pPr>
        <w:spacing w:after="20"/>
      </w:pPr>
    </w:p>
    <w:p>
      <w:pPr>
        <w:pStyle w:val="Heading1"/>
      </w:pPr>
      <w:r>
        <w:rPr>
          <w:rFonts w:ascii="Microsoft JhengHei" w:hAnsi="Microsoft JhengHei" w:eastAsia="Microsoft JhengHei"/>
          <w:b/>
          <w:color w:val="000000"/>
          <w:sz w:val="28"/>
        </w:rPr>
        <w:t>4. 顧客價值證據</w:t>
      </w:r>
    </w:p>
    <w:p>
      <w:r>
        <w:rPr>
          <w:rFonts w:ascii="Microsoft JhengHei" w:hAnsi="Microsoft JhengHei" w:eastAsia="Microsoft JhengHei"/>
          <w:color w:val="000000"/>
          <w:sz w:val="21"/>
        </w:rPr>
        <w:t>漏斗分開顯示接觸、詢問、意願、報名、出席、完成與後續使用；每一段都要有可核實的分子分母。</w:t>
      </w:r>
    </w:p>
    <w:p>
      <w:pPr>
        <w:pStyle w:val="Heading1"/>
      </w:pPr>
      <w:r>
        <w:rPr>
          <w:rFonts w:ascii="Microsoft JhengHei" w:hAnsi="Microsoft JhengHei" w:eastAsia="Microsoft JhengHei"/>
          <w:b/>
          <w:color w:val="000000"/>
          <w:sz w:val="28"/>
        </w:rPr>
        <w:t>5. 營運及社會成果</w:t>
      </w:r>
    </w:p>
    <w:p>
      <w:r>
        <w:rPr>
          <w:rFonts w:ascii="Microsoft JhengHei" w:hAnsi="Microsoft JhengHei" w:eastAsia="Microsoft JhengHei"/>
          <w:color w:val="000000"/>
          <w:sz w:val="21"/>
        </w:rPr>
        <w:t>顧客價值可從學習、可近性、使用者回饋與服務持續性觀察，並標記自陳或第三方來源。</w:t>
      </w:r>
    </w:p>
    <w:p>
      <w:pPr>
        <w:pStyle w:val="Heading1"/>
      </w:pPr>
      <w:r>
        <w:rPr>
          <w:rFonts w:ascii="Microsoft JhengHei" w:hAnsi="Microsoft JhengHei" w:eastAsia="Microsoft JhengHei"/>
          <w:b/>
          <w:color w:val="000000"/>
          <w:sz w:val="28"/>
        </w:rPr>
        <w:t>6. 第三方核實</w:t>
      </w:r>
    </w:p>
    <w:p>
      <w:r>
        <w:rPr>
          <w:rFonts w:ascii="Microsoft JhengHei" w:hAnsi="Microsoft JhengHei" w:eastAsia="Microsoft JhengHei"/>
          <w:color w:val="000000"/>
          <w:sz w:val="21"/>
        </w:rPr>
        <w:t>社會參與、獲獎、產學合作及媒體報導只有取得原始證明後才能納入。本次可讀範圍尚無協會原件可支撐相關成果。</w:t>
      </w:r>
    </w:p>
    <w:p>
      <w:pPr>
        <w:pStyle w:val="Heading1"/>
      </w:pPr>
      <w:r>
        <w:rPr>
          <w:rFonts w:ascii="Microsoft JhengHei" w:hAnsi="Microsoft JhengHei" w:eastAsia="Microsoft JhengHei"/>
          <w:b/>
          <w:color w:val="000000"/>
          <w:sz w:val="28"/>
        </w:rPr>
        <w:t>7. 趨勢與限制</w:t>
      </w:r>
    </w:p>
    <w:p>
      <w:r>
        <w:rPr>
          <w:rFonts w:ascii="Microsoft JhengHei" w:hAnsi="Microsoft JhengHei" w:eastAsia="Microsoft JhengHei"/>
          <w:color w:val="000000"/>
          <w:sz w:val="21"/>
        </w:rPr>
        <w:t>年度比較要保持會計口徑、課程定義及期間一致。任何成長敘述都要連結帳冊、核定報表或其他可查來源。</w:t>
      </w:r>
    </w:p>
    <w:p>
      <w:pPr>
        <w:pStyle w:val="Heading1"/>
      </w:pPr>
      <w:r>
        <w:rPr>
          <w:rFonts w:ascii="Microsoft JhengHei" w:hAnsi="Microsoft JhengHei" w:eastAsia="Microsoft JhengHei"/>
          <w:b/>
          <w:color w:val="000000"/>
          <w:sz w:val="28"/>
        </w:rPr>
        <w:t>8. 後續決策</w:t>
      </w:r>
    </w:p>
    <w:p>
      <w:r>
        <w:rPr>
          <w:rFonts w:ascii="Microsoft JhengHei" w:hAnsi="Microsoft JhengHei" w:eastAsia="Microsoft JhengHei"/>
          <w:color w:val="000000"/>
          <w:sz w:val="21"/>
        </w:rPr>
        <w:t>下一輪決策先確認資料取得能力和法規要求，再判定是否持續、修訂或擴充服務。</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模擬市場問卷份數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20份模擬回覆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實際問卷版本、發送與回收紀錄。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SYN-021</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模擬課程主題興趣</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健康教育14次；非醫療服務安全12次；社區活動帶領7次；數位工具應用9次；其他3次</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實際多選問卷原始資料與題目版本。</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模擬參與時段</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週末12人；平日晚間5人；平日白天3人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模擬課程長度偏好</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3至6小時9人；7至12小時7人；超過12小時4人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模擬六個月參與意願</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有意願8人；不確定7人；目前無意願5人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實際意願題原始回覆。</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模擬費用區間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新臺幣1,000元以下8人；1,001至3,000元7人；3,000元以上2人；補助或不確定3人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實際成本、收費核定與支付意願調查。</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模擬受訪者類別</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在職服務人員8人；初入行者5人；社區志工4人；轉職／進修者3人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實際問卷受訪者分類與匿名化底稿。</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8</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財務來源原則</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協會原始帳冊、憑證與核定報表；社會團體財務處理辦法</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本工作稿無協會實際收支或營業額原件；案例數字均為模擬</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OFR-149-D01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