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流程圖與責任矩陣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直接回應官方方框：訓練體系圖解及核心訓練類別名稱。。本文件功能為「流程圖與責任矩陣」，不以索引或通用摘要代替正文。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OFR-014-D01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指標3／第1頁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Plan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官方編號：OFR-014　｜　官方方框文字：訓練體系圖解及核心訓練類別名稱。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本文件以「流程圖與責任矩陣」格式完整回應本項官方要求，並說明作業、判斷、資料來源與正式採用條件。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流程目的</w:t>
      </w:r>
    </w:p>
    <w:p>
      <w:r>
        <w:rPr>
          <w:rFonts w:ascii="Microsoft JhengHei" w:hAnsi="Microsoft JhengHei" w:eastAsia="Microsoft JhengHei"/>
          <w:color w:val="000000"/>
          <w:sz w:val="21"/>
        </w:rPr>
        <w:t>此矩陣用來說明文件中所涉作業的主責、覆核、決策與知會關係。實際姓名與職稱由協會核定後另行填入。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起始與完成條件</w:t>
      </w:r>
    </w:p>
    <w:p>
      <w:r>
        <w:rPr>
          <w:rFonts w:ascii="Microsoft JhengHei" w:hAnsi="Microsoft JhengHei" w:eastAsia="Microsoft JhengHei"/>
          <w:color w:val="000000"/>
          <w:sz w:val="21"/>
        </w:rPr>
        <w:t>起始條件是有明確需求、適用來源與受理責任；結束條件是輸出已核對、核定狀態已標記，來源可被重新開啟。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主流程</w:t>
      </w:r>
    </w:p>
    <w:p>
      <w:r>
        <w:rPr>
          <w:rFonts w:ascii="Microsoft JhengHei" w:hAnsi="Microsoft JhengHei" w:eastAsia="Microsoft JhengHei"/>
          <w:color w:val="000000"/>
          <w:sz w:val="21"/>
        </w:rPr>
        <w:t>建議流程為需求登錄、證據蒐集、內容編製、同儕覆核、權責核定、執行或發布、成效檢視與歸檔。每一節點設置可退回的判斷分支。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決策分支</w:t>
      </w:r>
    </w:p>
    <w:p>
      <w:r>
        <w:rPr>
          <w:rFonts w:ascii="Microsoft JhengHei" w:hAnsi="Microsoft JhengHei" w:eastAsia="Microsoft JhengHei"/>
          <w:color w:val="000000"/>
          <w:sz w:val="21"/>
        </w:rPr>
        <w:t>若外部原件待取得，承辦人建立索取包並登錄期限；若有爭議，覆核者退回補證；若牽涉預算、聘任、申辦或公開承諾，交由協會正式決策。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角色RACI</w:t>
      </w:r>
    </w:p>
    <w:p>
      <w:r>
        <w:rPr>
          <w:rFonts w:ascii="Microsoft JhengHei" w:hAnsi="Microsoft JhengHei" w:eastAsia="Microsoft JhengHei"/>
          <w:color w:val="000000"/>
          <w:sz w:val="21"/>
        </w:rPr>
        <w:t>R為執行責任、A為最終核定、C為事前諮詢、I為結果知會。角色代碼僅示範，不能推定協會目前已指定人員。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流程責任矩陣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62"/>
        <w:gridCol w:w="1962"/>
        <w:gridCol w:w="1962"/>
        <w:gridCol w:w="1962"/>
        <w:gridCol w:w="1962"/>
      </w:tblGrid>
      <w:tr>
        <w:trPr>
          <w:tblHeader w:val="true"/>
        </w:trPr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節點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承辦R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核定A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諮詢C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知會I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需求／來源登錄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訓練行政角色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依實際權責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需求提出者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相關角色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草案編製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文件編製角色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依實際權責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講師／財務角色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相關角色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覆核與補證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覆核角色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依實際權責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原件保管者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承辦角色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核定與執行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承辦角色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協會核定權責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必要專業角色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受影響者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結案與改善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承辦角色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協會核定權責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學員／合作方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理監事會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交接與控制點</w:t>
      </w:r>
    </w:p>
    <w:p>
      <w:r>
        <w:rPr>
          <w:rFonts w:ascii="Microsoft JhengHei" w:hAnsi="Microsoft JhengHei" w:eastAsia="Microsoft JhengHei"/>
          <w:color w:val="000000"/>
          <w:sz w:val="21"/>
        </w:rPr>
        <w:t>交接時以文件編號、版本、附件清單、待辦和期限確認接收。逾期或未獲回覆時依序提醒、升級到核定權責，並保留暫停選項。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例外路徑</w:t>
      </w:r>
    </w:p>
    <w:p>
      <w:r>
        <w:rPr>
          <w:rFonts w:ascii="Microsoft JhengHei" w:hAnsi="Microsoft JhengHei" w:eastAsia="Microsoft JhengHei"/>
          <w:color w:val="000000"/>
          <w:sz w:val="21"/>
        </w:rPr>
        <w:t>例外包含資料無法取得、原件真偽存疑、個資不必要、核准條件未達與資源不足。例外紀錄需說明影響、臨時控制及恢復條件。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SYN-033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模擬角色代碼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SIM-ROLE-LEAD、SIM-ROLE-ADMIN、SIM-ROLE-FINANCE、SIM-INSTRUCTOR-01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協會核定分工及實際人員任務紀錄。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現行原件9頁；本項第1頁；控制文件逐框來源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NONE_FOUND_AFTER_SEARCH；查核範圍與限制見 00_CONTROL/SOURCE_ACCESS_REPORT.md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本文件未使用歷史文件；不表示未讀取位置不存在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OFR-014-D01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