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目標142份；截至2026年9月29日已建20份完整工作稿（待實際資料或核定），122份尚未開始；28項「其他」另行列管。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122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工作稿｜待資料／核定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知識管理社群討論_完整工作稿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神秘客實地稽核（外部稽核）課後機制等_完整工作稿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品質不良率下降統計表_完整工作稿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建立目標客戶及學員滿意度調查機制（系統及流程_分析報告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問卷調查等顯示目標客戶及學員認為訓練有達成能_分析報告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執行目標客戶及學員滿意度調查及分析（系統及流_分析報告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提出目標客戶及學員對訓練達能力提升之說明（學_分析報告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指導學員參加技能競賽獲獎_完整工作稿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證照獲取率_分析報告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提出目標客戶及學員對訓練達組織績效改善之說明_分析報告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社群網站知識討論區，人員使用網站頻率高_分析報告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提出目標客戶及學員對訓練達特殊績效之說明（社_完整工作稿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輔導考照及學員回訓率持續提高_分析報告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目標市場及顧客價值均有提升，然而未有具體紀錄_可直接使用成品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提出心得與知識分享執行成效（系統及流程面）_分析報告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口頭說明學員訓後就業狀況，但未有具體紀錄及評_可直接使用成品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學員考照通過率有增加，但未有具體紀錄及評量_可直接使用成品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有具體紀錄可辨識目標市場及顧客價值均有部份提_可直接使用成品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相關證據顯示有初步訓練成果，且有部份佐證資料_分析報告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